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76074D" w14:textId="77777777" w:rsidR="000F01F1" w:rsidRDefault="00507EF5">
      <w:pPr>
        <w:pStyle w:val="Akapitzlist"/>
        <w:spacing w:after="240"/>
        <w:ind w:left="4967" w:hanging="6"/>
        <w:jc w:val="right"/>
        <w:rPr>
          <w:rFonts w:cs="Calibri"/>
          <w:i/>
        </w:rPr>
      </w:pPr>
      <w:r>
        <w:rPr>
          <w:rFonts w:cs="Calibri"/>
          <w:i/>
        </w:rPr>
        <w:t>Załącznik do KARTY OCENY ZAŁOŻEŃ PROJEKTU INFORMATYCZNEGO NR 474</w:t>
      </w:r>
    </w:p>
    <w:tbl>
      <w:tblPr>
        <w:tblW w:w="15559" w:type="dxa"/>
        <w:tblInd w:w="-672" w:type="dxa"/>
        <w:tblLayout w:type="fixed"/>
        <w:tblLook w:val="01E0" w:firstRow="1" w:lastRow="1" w:firstColumn="1" w:lastColumn="1" w:noHBand="0" w:noVBand="0"/>
      </w:tblPr>
      <w:tblGrid>
        <w:gridCol w:w="561"/>
        <w:gridCol w:w="1133"/>
        <w:gridCol w:w="1845"/>
        <w:gridCol w:w="5407"/>
        <w:gridCol w:w="1752"/>
        <w:gridCol w:w="4861"/>
      </w:tblGrid>
      <w:tr w:rsidR="000F01F1" w14:paraId="6596B581" w14:textId="77777777">
        <w:tc>
          <w:tcPr>
            <w:tcW w:w="15559" w:type="dxa"/>
            <w:gridSpan w:val="6"/>
            <w:tcBorders>
              <w:top w:val="single" w:sz="4" w:space="0" w:color="000000"/>
              <w:left w:val="single" w:sz="4" w:space="0" w:color="000000"/>
              <w:bottom w:val="single" w:sz="4" w:space="0" w:color="000000"/>
              <w:right w:val="single" w:sz="4" w:space="0" w:color="000000"/>
            </w:tcBorders>
            <w:vAlign w:val="center"/>
          </w:tcPr>
          <w:p w14:paraId="0102DAF6" w14:textId="77777777" w:rsidR="000F01F1" w:rsidRDefault="00507EF5">
            <w:pPr>
              <w:spacing w:before="120" w:after="120"/>
              <w:rPr>
                <w:rFonts w:ascii="Calibri" w:hAnsi="Calibri" w:cs="Calibri"/>
                <w:b/>
                <w:i/>
                <w:sz w:val="22"/>
                <w:szCs w:val="22"/>
              </w:rPr>
            </w:pPr>
            <w:r>
              <w:rPr>
                <w:rFonts w:ascii="Calibri" w:hAnsi="Calibri" w:cs="Calibri"/>
                <w:b/>
                <w:i/>
                <w:sz w:val="22"/>
                <w:szCs w:val="22"/>
              </w:rPr>
              <w:t xml:space="preserve">Nazwa dokumentu: </w:t>
            </w:r>
            <w:r>
              <w:rPr>
                <w:rFonts w:ascii="Calibri" w:hAnsi="Calibri" w:cs="Calibri"/>
                <w:bCs/>
                <w:i/>
                <w:sz w:val="22"/>
                <w:szCs w:val="22"/>
              </w:rPr>
              <w:t>Opis założeń projektu informatycznego pn.</w:t>
            </w:r>
            <w:r>
              <w:rPr>
                <w:rFonts w:ascii="Calibri" w:hAnsi="Calibri" w:cs="Calibri"/>
                <w:b/>
                <w:i/>
                <w:sz w:val="22"/>
                <w:szCs w:val="22"/>
              </w:rPr>
              <w:t xml:space="preserve"> „Opracowanie i wdrożenie systemu Elektroniczna Platforma Usług Konsularnych (</w:t>
            </w:r>
            <w:proofErr w:type="spellStart"/>
            <w:r>
              <w:rPr>
                <w:rFonts w:ascii="Calibri" w:hAnsi="Calibri" w:cs="Calibri"/>
                <w:b/>
                <w:i/>
                <w:sz w:val="22"/>
                <w:szCs w:val="22"/>
              </w:rPr>
              <w:t>ePUK</w:t>
            </w:r>
            <w:proofErr w:type="spellEnd"/>
            <w:r>
              <w:rPr>
                <w:rFonts w:ascii="Calibri" w:hAnsi="Calibri" w:cs="Calibri"/>
                <w:b/>
                <w:i/>
                <w:sz w:val="22"/>
                <w:szCs w:val="22"/>
              </w:rPr>
              <w:t xml:space="preserve">) ”  – </w:t>
            </w:r>
            <w:r>
              <w:rPr>
                <w:rFonts w:ascii="Calibri" w:hAnsi="Calibri" w:cs="Calibri"/>
                <w:bCs/>
                <w:iCs/>
                <w:sz w:val="22"/>
                <w:szCs w:val="22"/>
              </w:rPr>
              <w:t>wnioskodawca: Minister Spraw Zagranicznych, beneficjent: Ministerstwo Spraw Zagranicznych</w:t>
            </w:r>
          </w:p>
        </w:tc>
      </w:tr>
      <w:tr w:rsidR="000F01F1" w14:paraId="4DA6917F" w14:textId="77777777">
        <w:tc>
          <w:tcPr>
            <w:tcW w:w="561" w:type="dxa"/>
            <w:tcBorders>
              <w:top w:val="single" w:sz="4" w:space="0" w:color="000000"/>
              <w:left w:val="single" w:sz="4" w:space="0" w:color="000000"/>
              <w:bottom w:val="single" w:sz="4" w:space="0" w:color="000000"/>
              <w:right w:val="single" w:sz="4" w:space="0" w:color="000000"/>
            </w:tcBorders>
            <w:vAlign w:val="center"/>
          </w:tcPr>
          <w:p w14:paraId="61BE0129" w14:textId="77777777" w:rsidR="000F01F1" w:rsidRDefault="00507EF5">
            <w:pPr>
              <w:jc w:val="center"/>
              <w:rPr>
                <w:rFonts w:ascii="Calibri" w:hAnsi="Calibri" w:cs="Calibri"/>
                <w:b/>
                <w:sz w:val="22"/>
                <w:szCs w:val="22"/>
              </w:rPr>
            </w:pPr>
            <w:r>
              <w:rPr>
                <w:rFonts w:ascii="Calibri" w:hAnsi="Calibri" w:cs="Calibri"/>
                <w:b/>
                <w:sz w:val="22"/>
                <w:szCs w:val="22"/>
              </w:rPr>
              <w:t>Lp.</w:t>
            </w:r>
          </w:p>
        </w:tc>
        <w:tc>
          <w:tcPr>
            <w:tcW w:w="1133" w:type="dxa"/>
            <w:tcBorders>
              <w:top w:val="single" w:sz="4" w:space="0" w:color="000000"/>
              <w:left w:val="single" w:sz="4" w:space="0" w:color="000000"/>
              <w:bottom w:val="single" w:sz="4" w:space="0" w:color="000000"/>
              <w:right w:val="single" w:sz="4" w:space="0" w:color="000000"/>
            </w:tcBorders>
            <w:vAlign w:val="center"/>
          </w:tcPr>
          <w:p w14:paraId="513F6B65" w14:textId="77777777" w:rsidR="000F01F1" w:rsidRDefault="00507EF5">
            <w:pPr>
              <w:jc w:val="center"/>
              <w:rPr>
                <w:rFonts w:ascii="Calibri" w:hAnsi="Calibri" w:cs="Calibri"/>
                <w:b/>
                <w:sz w:val="22"/>
                <w:szCs w:val="22"/>
              </w:rPr>
            </w:pPr>
            <w:r>
              <w:rPr>
                <w:rFonts w:ascii="Calibri" w:hAnsi="Calibri" w:cs="Calibri"/>
                <w:b/>
                <w:sz w:val="22"/>
                <w:szCs w:val="22"/>
              </w:rPr>
              <w:t>Organ wnoszący uwagi</w:t>
            </w:r>
          </w:p>
        </w:tc>
        <w:tc>
          <w:tcPr>
            <w:tcW w:w="1845" w:type="dxa"/>
            <w:tcBorders>
              <w:top w:val="single" w:sz="4" w:space="0" w:color="000000"/>
              <w:left w:val="single" w:sz="4" w:space="0" w:color="000000"/>
              <w:bottom w:val="single" w:sz="4" w:space="0" w:color="000000"/>
              <w:right w:val="single" w:sz="4" w:space="0" w:color="000000"/>
            </w:tcBorders>
            <w:vAlign w:val="center"/>
          </w:tcPr>
          <w:p w14:paraId="0907D1F1" w14:textId="77777777" w:rsidR="000F01F1" w:rsidRDefault="00507EF5">
            <w:pPr>
              <w:jc w:val="center"/>
              <w:rPr>
                <w:rFonts w:ascii="Calibri" w:hAnsi="Calibri" w:cs="Calibri"/>
                <w:b/>
                <w:sz w:val="22"/>
                <w:szCs w:val="22"/>
              </w:rPr>
            </w:pPr>
            <w:r>
              <w:rPr>
                <w:rFonts w:ascii="Calibri" w:hAnsi="Calibri" w:cs="Calibri"/>
                <w:b/>
                <w:sz w:val="22"/>
                <w:szCs w:val="22"/>
              </w:rPr>
              <w:t>Jednostka redakcyjna, do której wnoszone są uwagi</w:t>
            </w:r>
          </w:p>
        </w:tc>
        <w:tc>
          <w:tcPr>
            <w:tcW w:w="5407" w:type="dxa"/>
            <w:tcBorders>
              <w:top w:val="single" w:sz="4" w:space="0" w:color="000000"/>
              <w:left w:val="single" w:sz="4" w:space="0" w:color="000000"/>
              <w:bottom w:val="single" w:sz="4" w:space="0" w:color="000000"/>
              <w:right w:val="single" w:sz="4" w:space="0" w:color="000000"/>
            </w:tcBorders>
          </w:tcPr>
          <w:p w14:paraId="0C0DD2A3" w14:textId="77777777" w:rsidR="000F01F1" w:rsidRDefault="00507EF5">
            <w:pPr>
              <w:rPr>
                <w:rFonts w:ascii="Calibri" w:hAnsi="Calibri" w:cs="Calibri"/>
                <w:b/>
                <w:sz w:val="22"/>
                <w:szCs w:val="22"/>
              </w:rPr>
            </w:pPr>
            <w:r>
              <w:rPr>
                <w:rFonts w:ascii="Calibri" w:hAnsi="Calibri" w:cs="Calibri"/>
                <w:b/>
                <w:sz w:val="22"/>
                <w:szCs w:val="22"/>
              </w:rPr>
              <w:t>Treść uwagi</w:t>
            </w:r>
          </w:p>
        </w:tc>
        <w:tc>
          <w:tcPr>
            <w:tcW w:w="1752" w:type="dxa"/>
            <w:tcBorders>
              <w:top w:val="single" w:sz="4" w:space="0" w:color="000000"/>
              <w:left w:val="single" w:sz="4" w:space="0" w:color="000000"/>
              <w:bottom w:val="single" w:sz="4" w:space="0" w:color="000000"/>
              <w:right w:val="single" w:sz="4" w:space="0" w:color="000000"/>
            </w:tcBorders>
            <w:vAlign w:val="center"/>
          </w:tcPr>
          <w:p w14:paraId="095660A7" w14:textId="77777777" w:rsidR="000F01F1" w:rsidRDefault="00507EF5">
            <w:pPr>
              <w:jc w:val="center"/>
              <w:rPr>
                <w:rFonts w:ascii="Calibri" w:hAnsi="Calibri" w:cs="Calibri"/>
                <w:b/>
                <w:sz w:val="22"/>
                <w:szCs w:val="22"/>
              </w:rPr>
            </w:pPr>
            <w:r>
              <w:rPr>
                <w:rFonts w:ascii="Calibri" w:hAnsi="Calibri" w:cs="Calibri"/>
                <w:b/>
                <w:sz w:val="22"/>
                <w:szCs w:val="22"/>
              </w:rPr>
              <w:t>Propozycja zmian zapisu</w:t>
            </w:r>
          </w:p>
        </w:tc>
        <w:tc>
          <w:tcPr>
            <w:tcW w:w="4861" w:type="dxa"/>
            <w:tcBorders>
              <w:top w:val="single" w:sz="4" w:space="0" w:color="000000"/>
              <w:left w:val="single" w:sz="4" w:space="0" w:color="000000"/>
              <w:bottom w:val="single" w:sz="4" w:space="0" w:color="000000"/>
              <w:right w:val="single" w:sz="4" w:space="0" w:color="000000"/>
            </w:tcBorders>
            <w:vAlign w:val="center"/>
          </w:tcPr>
          <w:p w14:paraId="51C6AB4D" w14:textId="77777777" w:rsidR="000F01F1" w:rsidRDefault="00507EF5">
            <w:pPr>
              <w:jc w:val="center"/>
              <w:rPr>
                <w:rFonts w:ascii="Calibri" w:hAnsi="Calibri" w:cs="Calibri"/>
                <w:b/>
                <w:sz w:val="22"/>
                <w:szCs w:val="22"/>
              </w:rPr>
            </w:pPr>
            <w:r>
              <w:rPr>
                <w:rFonts w:ascii="Calibri" w:hAnsi="Calibri" w:cs="Calibri"/>
                <w:b/>
                <w:sz w:val="22"/>
                <w:szCs w:val="22"/>
              </w:rPr>
              <w:t>Odniesienie do uwagi</w:t>
            </w:r>
          </w:p>
        </w:tc>
      </w:tr>
      <w:tr w:rsidR="000F01F1" w14:paraId="4AF77D65" w14:textId="77777777">
        <w:tc>
          <w:tcPr>
            <w:tcW w:w="561" w:type="dxa"/>
            <w:tcBorders>
              <w:top w:val="single" w:sz="4" w:space="0" w:color="000000"/>
              <w:left w:val="single" w:sz="4" w:space="0" w:color="000000"/>
              <w:bottom w:val="single" w:sz="4" w:space="0" w:color="000000"/>
              <w:right w:val="single" w:sz="4" w:space="0" w:color="000000"/>
            </w:tcBorders>
          </w:tcPr>
          <w:p w14:paraId="0A289DE4" w14:textId="77777777" w:rsidR="000F01F1" w:rsidRDefault="000F01F1">
            <w:pPr>
              <w:numPr>
                <w:ilvl w:val="0"/>
                <w:numId w:val="1"/>
              </w:numPr>
              <w:spacing w:after="0" w:line="240" w:lineRule="auto"/>
              <w:ind w:left="113" w:firstLine="0"/>
              <w:jc w:val="center"/>
              <w:rPr>
                <w:rFonts w:ascii="Calibri" w:hAnsi="Calibri" w:cs="Calibri"/>
                <w:b/>
                <w:sz w:val="22"/>
                <w:szCs w:val="22"/>
              </w:rPr>
            </w:pPr>
          </w:p>
        </w:tc>
        <w:tc>
          <w:tcPr>
            <w:tcW w:w="1133" w:type="dxa"/>
            <w:tcBorders>
              <w:top w:val="single" w:sz="4" w:space="0" w:color="000000"/>
              <w:left w:val="single" w:sz="4" w:space="0" w:color="000000"/>
              <w:bottom w:val="single" w:sz="4" w:space="0" w:color="000000"/>
              <w:right w:val="single" w:sz="4" w:space="0" w:color="000000"/>
            </w:tcBorders>
          </w:tcPr>
          <w:p w14:paraId="533DE4C1" w14:textId="77777777" w:rsidR="000F01F1" w:rsidRDefault="00507EF5">
            <w:pPr>
              <w:jc w:val="center"/>
              <w:rPr>
                <w:rFonts w:ascii="Calibri" w:hAnsi="Calibri" w:cs="Calibri"/>
                <w:b/>
                <w:sz w:val="22"/>
                <w:szCs w:val="22"/>
              </w:rPr>
            </w:pPr>
            <w:r>
              <w:rPr>
                <w:rFonts w:ascii="Calibri" w:hAnsi="Calibri" w:cs="Calibri"/>
                <w:b/>
                <w:sz w:val="22"/>
                <w:szCs w:val="22"/>
              </w:rPr>
              <w:t>RA IT</w:t>
            </w:r>
          </w:p>
        </w:tc>
        <w:tc>
          <w:tcPr>
            <w:tcW w:w="1845" w:type="dxa"/>
            <w:tcBorders>
              <w:top w:val="single" w:sz="4" w:space="0" w:color="000000"/>
              <w:left w:val="single" w:sz="4" w:space="0" w:color="000000"/>
              <w:bottom w:val="single" w:sz="4" w:space="0" w:color="000000"/>
              <w:right w:val="single" w:sz="4" w:space="0" w:color="000000"/>
            </w:tcBorders>
          </w:tcPr>
          <w:p w14:paraId="087DB169" w14:textId="77777777" w:rsidR="000F01F1" w:rsidRDefault="00507EF5">
            <w:pPr>
              <w:jc w:val="center"/>
              <w:rPr>
                <w:rFonts w:ascii="Calibri" w:hAnsi="Calibri" w:cs="Calibri"/>
                <w:bCs/>
                <w:sz w:val="22"/>
                <w:szCs w:val="22"/>
              </w:rPr>
            </w:pPr>
            <w:r>
              <w:rPr>
                <w:rFonts w:ascii="Calibri" w:hAnsi="Calibri" w:cs="Calibri"/>
                <w:bCs/>
                <w:sz w:val="22"/>
                <w:szCs w:val="22"/>
              </w:rPr>
              <w:t>1.1. Identyfikacja problemu i potrzeb</w:t>
            </w:r>
          </w:p>
        </w:tc>
        <w:tc>
          <w:tcPr>
            <w:tcW w:w="5407" w:type="dxa"/>
            <w:tcBorders>
              <w:top w:val="single" w:sz="4" w:space="0" w:color="000000"/>
              <w:left w:val="single" w:sz="4" w:space="0" w:color="000000"/>
              <w:bottom w:val="single" w:sz="4" w:space="0" w:color="000000"/>
              <w:right w:val="single" w:sz="4" w:space="0" w:color="000000"/>
            </w:tcBorders>
          </w:tcPr>
          <w:p w14:paraId="590BAED5" w14:textId="77777777" w:rsidR="000F01F1" w:rsidRDefault="00507EF5">
            <w:pPr>
              <w:rPr>
                <w:rFonts w:ascii="Calibri" w:hAnsi="Calibri" w:cs="Calibri"/>
                <w:iCs/>
                <w:sz w:val="22"/>
                <w:szCs w:val="22"/>
              </w:rPr>
            </w:pPr>
            <w:r>
              <w:rPr>
                <w:rFonts w:ascii="Calibri" w:hAnsi="Calibri" w:cs="Calibri"/>
                <w:sz w:val="22"/>
                <w:szCs w:val="22"/>
              </w:rPr>
              <w:t xml:space="preserve">Dla jakich szkół mają być wydane Legitymację podlegają pod Ministerstwo Edukacji Narodowej? Czy MEN nie powinien być włączony w proces wydawania Legitymacji dla uczniów i nauczycieli szkół polonijnych?.  W przedłożonym projekcie w pozycji „Zintegrowane jednostki organizacyjne Państwa” nie wymieniono </w:t>
            </w:r>
            <w:proofErr w:type="spellStart"/>
            <w:r>
              <w:rPr>
                <w:rFonts w:ascii="Calibri" w:hAnsi="Calibri" w:cs="Calibri"/>
                <w:sz w:val="22"/>
                <w:szCs w:val="22"/>
              </w:rPr>
              <w:t>MENu</w:t>
            </w:r>
            <w:proofErr w:type="spellEnd"/>
            <w:r>
              <w:rPr>
                <w:rFonts w:ascii="Calibri" w:hAnsi="Calibri" w:cs="Calibri"/>
                <w:sz w:val="22"/>
                <w:szCs w:val="22"/>
              </w:rPr>
              <w:t>.</w:t>
            </w:r>
          </w:p>
        </w:tc>
        <w:tc>
          <w:tcPr>
            <w:tcW w:w="1752" w:type="dxa"/>
            <w:tcBorders>
              <w:top w:val="single" w:sz="4" w:space="0" w:color="000000"/>
              <w:left w:val="single" w:sz="4" w:space="0" w:color="000000"/>
              <w:bottom w:val="single" w:sz="4" w:space="0" w:color="000000"/>
              <w:right w:val="single" w:sz="4" w:space="0" w:color="000000"/>
            </w:tcBorders>
          </w:tcPr>
          <w:p w14:paraId="303F093B" w14:textId="77777777" w:rsidR="000F01F1" w:rsidRDefault="00507EF5">
            <w:pPr>
              <w:jc w:val="center"/>
              <w:rPr>
                <w:rFonts w:ascii="Calibri" w:hAnsi="Calibri" w:cs="Calibri"/>
                <w:sz w:val="22"/>
                <w:szCs w:val="22"/>
              </w:rPr>
            </w:pPr>
            <w:r>
              <w:rPr>
                <w:rFonts w:ascii="Calibri" w:hAnsi="Calibri" w:cs="Calibri"/>
                <w:sz w:val="22"/>
                <w:szCs w:val="22"/>
              </w:rPr>
              <w:t>Proszę o analizę i korektę opisu założeń</w:t>
            </w:r>
          </w:p>
        </w:tc>
        <w:tc>
          <w:tcPr>
            <w:tcW w:w="4861" w:type="dxa"/>
            <w:tcBorders>
              <w:top w:val="single" w:sz="4" w:space="0" w:color="000000"/>
              <w:left w:val="single" w:sz="4" w:space="0" w:color="000000"/>
              <w:bottom w:val="single" w:sz="4" w:space="0" w:color="000000"/>
              <w:right w:val="single" w:sz="4" w:space="0" w:color="000000"/>
            </w:tcBorders>
          </w:tcPr>
          <w:p w14:paraId="44A4D966" w14:textId="37A64953" w:rsidR="00821A13" w:rsidRDefault="00821A13" w:rsidP="00821A13">
            <w:pPr>
              <w:rPr>
                <w:rFonts w:ascii="Calibri" w:hAnsi="Calibri" w:cs="Calibri"/>
                <w:sz w:val="22"/>
                <w:szCs w:val="22"/>
              </w:rPr>
            </w:pPr>
            <w:r>
              <w:rPr>
                <w:rFonts w:ascii="Calibri" w:hAnsi="Calibri" w:cs="Calibri"/>
                <w:sz w:val="22"/>
                <w:szCs w:val="22"/>
              </w:rPr>
              <w:t>Możliwość uzyskania legitymacji szkolnej wydawanej przez urzędy konsularne została uregulowana w u</w:t>
            </w:r>
            <w:r w:rsidRPr="00821A13">
              <w:rPr>
                <w:rFonts w:ascii="Calibri" w:hAnsi="Calibri" w:cs="Calibri"/>
                <w:sz w:val="22"/>
                <w:szCs w:val="22"/>
              </w:rPr>
              <w:t>staw</w:t>
            </w:r>
            <w:r>
              <w:rPr>
                <w:rFonts w:ascii="Calibri" w:hAnsi="Calibri" w:cs="Calibri"/>
                <w:sz w:val="22"/>
                <w:szCs w:val="22"/>
              </w:rPr>
              <w:t>ie</w:t>
            </w:r>
            <w:r w:rsidRPr="00821A13">
              <w:rPr>
                <w:rFonts w:ascii="Calibri" w:hAnsi="Calibri" w:cs="Calibri"/>
                <w:sz w:val="22"/>
                <w:szCs w:val="22"/>
              </w:rPr>
              <w:t xml:space="preserve"> z dnia 15 grudnia 2016 r. o zmianie ustawy o uprawnieniach do ulgowych przejazdów środkami publicznego transportu zbiorowego oraz niektórych innych ustaw</w:t>
            </w:r>
            <w:r w:rsidR="009329D3">
              <w:rPr>
                <w:rFonts w:ascii="Calibri" w:hAnsi="Calibri" w:cs="Calibri"/>
                <w:sz w:val="22"/>
                <w:szCs w:val="22"/>
              </w:rPr>
              <w:t>. Legitymacje i procedura ich wydawania/przedłużania różni się od krajowej.</w:t>
            </w:r>
          </w:p>
          <w:p w14:paraId="686D64A7" w14:textId="5C4C78B7" w:rsidR="009329D3" w:rsidRDefault="00821A13" w:rsidP="00821A13">
            <w:pPr>
              <w:rPr>
                <w:rFonts w:ascii="Calibri" w:hAnsi="Calibri" w:cs="Calibri"/>
                <w:sz w:val="22"/>
                <w:szCs w:val="22"/>
              </w:rPr>
            </w:pPr>
            <w:r w:rsidRPr="00821A13">
              <w:rPr>
                <w:rFonts w:ascii="Calibri" w:hAnsi="Calibri" w:cs="Calibri"/>
                <w:sz w:val="22"/>
                <w:szCs w:val="22"/>
              </w:rPr>
              <w:t>Legitymacje</w:t>
            </w:r>
            <w:r w:rsidR="009329D3">
              <w:rPr>
                <w:rFonts w:ascii="Calibri" w:hAnsi="Calibri" w:cs="Calibri"/>
                <w:sz w:val="22"/>
                <w:szCs w:val="22"/>
              </w:rPr>
              <w:t xml:space="preserve"> „zagraniczne”</w:t>
            </w:r>
            <w:r w:rsidRPr="00821A13">
              <w:rPr>
                <w:rFonts w:ascii="Calibri" w:hAnsi="Calibri" w:cs="Calibri"/>
                <w:sz w:val="22"/>
                <w:szCs w:val="22"/>
              </w:rPr>
              <w:t xml:space="preserve"> przysługują uczniom czterech rodzajów szkół</w:t>
            </w:r>
            <w:r w:rsidR="009329D3">
              <w:rPr>
                <w:rFonts w:ascii="Calibri" w:hAnsi="Calibri" w:cs="Calibri"/>
                <w:sz w:val="22"/>
                <w:szCs w:val="22"/>
              </w:rPr>
              <w:t>:</w:t>
            </w:r>
          </w:p>
          <w:p w14:paraId="5C95FAA5" w14:textId="457546B8" w:rsidR="00821A13" w:rsidRDefault="009329D3" w:rsidP="00821A13">
            <w:pPr>
              <w:rPr>
                <w:rFonts w:ascii="Calibri" w:hAnsi="Calibri" w:cs="Calibri"/>
                <w:sz w:val="22"/>
                <w:szCs w:val="22"/>
              </w:rPr>
            </w:pPr>
            <w:r>
              <w:rPr>
                <w:rFonts w:ascii="Calibri" w:hAnsi="Calibri" w:cs="Calibri"/>
                <w:sz w:val="22"/>
                <w:szCs w:val="22"/>
              </w:rPr>
              <w:t xml:space="preserve">- </w:t>
            </w:r>
            <w:r w:rsidR="00821A13" w:rsidRPr="00821A13">
              <w:rPr>
                <w:rFonts w:ascii="Calibri" w:hAnsi="Calibri" w:cs="Calibri"/>
                <w:sz w:val="22"/>
                <w:szCs w:val="22"/>
              </w:rPr>
              <w:t>szkół prowadzonych przez organizacje społeczne zarejestrowanych w bazie danych Ośrodka Rozwoju Polskiej Edukacji za Granicą,</w:t>
            </w:r>
          </w:p>
          <w:p w14:paraId="00BD79F1" w14:textId="1FE645EC" w:rsidR="00821A13" w:rsidRDefault="009329D3" w:rsidP="00821A13">
            <w:pPr>
              <w:rPr>
                <w:rFonts w:ascii="Calibri" w:hAnsi="Calibri" w:cs="Calibri"/>
                <w:sz w:val="22"/>
                <w:szCs w:val="22"/>
              </w:rPr>
            </w:pPr>
            <w:r>
              <w:rPr>
                <w:rFonts w:ascii="Calibri" w:hAnsi="Calibri" w:cs="Calibri"/>
                <w:sz w:val="22"/>
                <w:szCs w:val="22"/>
              </w:rPr>
              <w:t xml:space="preserve">- </w:t>
            </w:r>
            <w:r w:rsidR="00821A13" w:rsidRPr="00821A13">
              <w:rPr>
                <w:rFonts w:ascii="Calibri" w:hAnsi="Calibri" w:cs="Calibri"/>
                <w:sz w:val="22"/>
                <w:szCs w:val="22"/>
              </w:rPr>
              <w:t>szkół w systemach oświaty innych państw,</w:t>
            </w:r>
          </w:p>
          <w:p w14:paraId="2956BC53" w14:textId="77777777" w:rsidR="009329D3" w:rsidRDefault="009329D3" w:rsidP="009329D3">
            <w:pPr>
              <w:rPr>
                <w:rFonts w:ascii="Calibri" w:hAnsi="Calibri" w:cs="Calibri"/>
                <w:sz w:val="22"/>
                <w:szCs w:val="22"/>
              </w:rPr>
            </w:pPr>
            <w:r>
              <w:rPr>
                <w:rFonts w:ascii="Calibri" w:hAnsi="Calibri" w:cs="Calibri"/>
                <w:sz w:val="22"/>
                <w:szCs w:val="22"/>
              </w:rPr>
              <w:t xml:space="preserve">- </w:t>
            </w:r>
            <w:r w:rsidR="00821A13" w:rsidRPr="00821A13">
              <w:rPr>
                <w:rFonts w:ascii="Calibri" w:hAnsi="Calibri" w:cs="Calibri"/>
                <w:sz w:val="22"/>
                <w:szCs w:val="22"/>
              </w:rPr>
              <w:t>sekcji polskich funkcjonujących w systemach oświaty innych państw,</w:t>
            </w:r>
          </w:p>
          <w:p w14:paraId="6E66BA89" w14:textId="77777777" w:rsidR="000F01F1" w:rsidRDefault="009329D3" w:rsidP="009329D3">
            <w:pPr>
              <w:rPr>
                <w:rFonts w:ascii="Calibri" w:hAnsi="Calibri" w:cs="Calibri"/>
                <w:sz w:val="22"/>
                <w:szCs w:val="22"/>
              </w:rPr>
            </w:pPr>
            <w:r>
              <w:rPr>
                <w:rFonts w:ascii="Calibri" w:hAnsi="Calibri" w:cs="Calibri"/>
                <w:sz w:val="22"/>
                <w:szCs w:val="22"/>
              </w:rPr>
              <w:lastRenderedPageBreak/>
              <w:t xml:space="preserve">- </w:t>
            </w:r>
            <w:r w:rsidR="00821A13" w:rsidRPr="00821A13">
              <w:rPr>
                <w:rFonts w:ascii="Calibri" w:hAnsi="Calibri" w:cs="Calibri"/>
                <w:sz w:val="22"/>
                <w:szCs w:val="22"/>
              </w:rPr>
              <w:t>szkół europejskich.</w:t>
            </w:r>
          </w:p>
          <w:p w14:paraId="7D51ECD4" w14:textId="3BF37575" w:rsidR="009329D3" w:rsidRDefault="009329D3" w:rsidP="009329D3">
            <w:pPr>
              <w:rPr>
                <w:rFonts w:ascii="Calibri" w:hAnsi="Calibri" w:cs="Calibri"/>
                <w:sz w:val="22"/>
                <w:szCs w:val="22"/>
              </w:rPr>
            </w:pPr>
            <w:r>
              <w:rPr>
                <w:rFonts w:ascii="Calibri" w:hAnsi="Calibri" w:cs="Calibri"/>
                <w:sz w:val="22"/>
                <w:szCs w:val="22"/>
              </w:rPr>
              <w:t xml:space="preserve">MEN nie uczestniczy bezpośrednio w tym procesie. Jednym z rodzajów szkół, której uczniowie i nauczyciele są uprawnieni do otrzymania </w:t>
            </w:r>
            <w:r w:rsidR="00BC5984">
              <w:rPr>
                <w:rFonts w:ascii="Calibri" w:hAnsi="Calibri" w:cs="Calibri"/>
                <w:sz w:val="22"/>
                <w:szCs w:val="22"/>
              </w:rPr>
              <w:t xml:space="preserve">legitymacji są szkoły społeczne zarejestrowane w bazie danych ORPEG. Analizowaliśmy możliwość integracji, jednak na ten moment </w:t>
            </w:r>
            <w:r w:rsidR="00411606">
              <w:rPr>
                <w:rFonts w:ascii="Calibri" w:hAnsi="Calibri" w:cs="Calibri"/>
                <w:sz w:val="22"/>
                <w:szCs w:val="22"/>
              </w:rPr>
              <w:t>nie wydaje się to osiągalne w zadowalającym zakresie.</w:t>
            </w:r>
          </w:p>
        </w:tc>
      </w:tr>
      <w:tr w:rsidR="000F01F1" w14:paraId="2F9FE230" w14:textId="77777777">
        <w:trPr>
          <w:trHeight w:val="1384"/>
        </w:trPr>
        <w:tc>
          <w:tcPr>
            <w:tcW w:w="561" w:type="dxa"/>
            <w:tcBorders>
              <w:top w:val="single" w:sz="4" w:space="0" w:color="000000"/>
              <w:left w:val="single" w:sz="4" w:space="0" w:color="000000"/>
              <w:bottom w:val="single" w:sz="4" w:space="0" w:color="000000"/>
              <w:right w:val="single" w:sz="4" w:space="0" w:color="000000"/>
            </w:tcBorders>
          </w:tcPr>
          <w:p w14:paraId="1392799D" w14:textId="77777777" w:rsidR="000F01F1" w:rsidRDefault="000F01F1">
            <w:pPr>
              <w:numPr>
                <w:ilvl w:val="0"/>
                <w:numId w:val="1"/>
              </w:numPr>
              <w:spacing w:after="0" w:line="240" w:lineRule="auto"/>
              <w:ind w:left="113" w:firstLine="0"/>
              <w:jc w:val="center"/>
              <w:rPr>
                <w:rFonts w:ascii="Calibri" w:hAnsi="Calibri" w:cs="Calibri"/>
                <w:b/>
                <w:sz w:val="22"/>
                <w:szCs w:val="22"/>
              </w:rPr>
            </w:pPr>
          </w:p>
        </w:tc>
        <w:tc>
          <w:tcPr>
            <w:tcW w:w="1133" w:type="dxa"/>
            <w:tcBorders>
              <w:top w:val="single" w:sz="4" w:space="0" w:color="000000"/>
              <w:left w:val="single" w:sz="4" w:space="0" w:color="000000"/>
              <w:bottom w:val="single" w:sz="4" w:space="0" w:color="000000"/>
              <w:right w:val="single" w:sz="4" w:space="0" w:color="000000"/>
            </w:tcBorders>
          </w:tcPr>
          <w:p w14:paraId="7550416A" w14:textId="77777777" w:rsidR="000F01F1" w:rsidRDefault="00507EF5">
            <w:pPr>
              <w:jc w:val="center"/>
              <w:rPr>
                <w:rFonts w:ascii="Calibri" w:hAnsi="Calibri" w:cs="Calibri"/>
                <w:b/>
                <w:sz w:val="22"/>
                <w:szCs w:val="22"/>
              </w:rPr>
            </w:pPr>
            <w:r>
              <w:rPr>
                <w:rFonts w:ascii="Calibri" w:hAnsi="Calibri" w:cs="Calibri"/>
                <w:b/>
                <w:sz w:val="22"/>
                <w:szCs w:val="22"/>
              </w:rPr>
              <w:t>RA IT</w:t>
            </w:r>
          </w:p>
        </w:tc>
        <w:tc>
          <w:tcPr>
            <w:tcW w:w="1845" w:type="dxa"/>
            <w:tcBorders>
              <w:top w:val="single" w:sz="4" w:space="0" w:color="000000"/>
              <w:left w:val="single" w:sz="4" w:space="0" w:color="000000"/>
              <w:bottom w:val="single" w:sz="4" w:space="0" w:color="000000"/>
              <w:right w:val="single" w:sz="4" w:space="0" w:color="000000"/>
            </w:tcBorders>
          </w:tcPr>
          <w:p w14:paraId="22EA875B" w14:textId="77777777" w:rsidR="000F01F1" w:rsidRDefault="00507EF5">
            <w:pPr>
              <w:jc w:val="center"/>
              <w:rPr>
                <w:rFonts w:ascii="Calibri" w:hAnsi="Calibri" w:cs="Calibri"/>
                <w:bCs/>
                <w:sz w:val="22"/>
                <w:szCs w:val="22"/>
              </w:rPr>
            </w:pPr>
            <w:r>
              <w:rPr>
                <w:rFonts w:ascii="Calibri" w:hAnsi="Calibri" w:cs="Calibri"/>
                <w:bCs/>
                <w:sz w:val="22"/>
                <w:szCs w:val="22"/>
              </w:rPr>
              <w:t>2.1. Cele i korzyści wynikające z projektu</w:t>
            </w:r>
          </w:p>
        </w:tc>
        <w:tc>
          <w:tcPr>
            <w:tcW w:w="5407" w:type="dxa"/>
            <w:tcBorders>
              <w:top w:val="single" w:sz="4" w:space="0" w:color="000000"/>
              <w:left w:val="single" w:sz="4" w:space="0" w:color="000000"/>
              <w:bottom w:val="single" w:sz="4" w:space="0" w:color="000000"/>
              <w:right w:val="single" w:sz="4" w:space="0" w:color="000000"/>
            </w:tcBorders>
          </w:tcPr>
          <w:p w14:paraId="1A576DAD" w14:textId="77777777" w:rsidR="000F01F1" w:rsidRDefault="00507EF5">
            <w:pPr>
              <w:rPr>
                <w:rFonts w:ascii="Calibri" w:hAnsi="Calibri" w:cs="Calibri"/>
                <w:iCs/>
                <w:sz w:val="22"/>
                <w:szCs w:val="22"/>
              </w:rPr>
            </w:pPr>
            <w:r>
              <w:rPr>
                <w:rFonts w:ascii="Calibri" w:hAnsi="Calibri" w:cs="Calibri"/>
                <w:iCs/>
                <w:sz w:val="22"/>
                <w:szCs w:val="22"/>
              </w:rPr>
              <w:t>Jako metoda pomiaru KPI 1 dla celu 1 wskazano  – „protokół odbioru wdrożenia e-usługi” z częstotliwością pomiaru raz na koniec projektu dla 11 usług publicznych udostępnionych on-line. Proponuje rozważyć dokonanie pomiaru na wersji testowej (ma być gotowa 31.05.2028r. – pkt 3.Kamienie Milowe) z zaangażowaniem docelowych użytkowników systemu a jako metoda pomiaru proszę o rozważenia dołączenia protokołu z oceny użyteczności użytkowników biorących udział w testach. Proszę o wskazanie liczby zaangażowanych użytkowników do testów oraz ilości placówek biorących udział w testach.</w:t>
            </w:r>
          </w:p>
          <w:p w14:paraId="2717417E" w14:textId="77777777" w:rsidR="000F01F1" w:rsidRDefault="00507EF5">
            <w:pPr>
              <w:rPr>
                <w:rFonts w:ascii="Calibri" w:hAnsi="Calibri" w:cs="Calibri"/>
                <w:iCs/>
                <w:sz w:val="22"/>
                <w:szCs w:val="22"/>
              </w:rPr>
            </w:pPr>
            <w:r>
              <w:rPr>
                <w:rFonts w:ascii="Calibri" w:hAnsi="Calibri" w:cs="Calibri"/>
                <w:iCs/>
                <w:sz w:val="22"/>
                <w:szCs w:val="22"/>
              </w:rPr>
              <w:t xml:space="preserve">Konieczna jest rozbudowa liczby kamieni milowych pozwolą na monitorowanie postępu prac i identyfikacje obszarów które wymagają poprawy </w:t>
            </w:r>
            <w:r>
              <w:rPr>
                <w:rFonts w:ascii="Calibri" w:hAnsi="Calibri" w:cs="Calibri"/>
                <w:b/>
                <w:bCs/>
                <w:iCs/>
                <w:sz w:val="22"/>
                <w:szCs w:val="22"/>
              </w:rPr>
              <w:t>w trakcie realizacji projektu</w:t>
            </w:r>
            <w:r>
              <w:rPr>
                <w:rFonts w:ascii="Calibri" w:hAnsi="Calibri" w:cs="Calibri"/>
                <w:iCs/>
                <w:sz w:val="22"/>
                <w:szCs w:val="22"/>
              </w:rPr>
              <w:t>. Proszę o rozważenie możliwości odbioru/uruchamiania systemu etapami. Ponadto warto uwzględnić wskaźniki dotyczące szkoleń.</w:t>
            </w:r>
          </w:p>
        </w:tc>
        <w:tc>
          <w:tcPr>
            <w:tcW w:w="1752" w:type="dxa"/>
            <w:tcBorders>
              <w:top w:val="single" w:sz="4" w:space="0" w:color="000000"/>
              <w:left w:val="single" w:sz="4" w:space="0" w:color="000000"/>
              <w:bottom w:val="single" w:sz="4" w:space="0" w:color="000000"/>
              <w:right w:val="single" w:sz="4" w:space="0" w:color="000000"/>
            </w:tcBorders>
          </w:tcPr>
          <w:p w14:paraId="423848BA" w14:textId="77777777" w:rsidR="000F01F1" w:rsidRDefault="00507EF5">
            <w:pPr>
              <w:jc w:val="center"/>
              <w:rPr>
                <w:rFonts w:ascii="Calibri" w:hAnsi="Calibri" w:cs="Calibri"/>
                <w:sz w:val="22"/>
                <w:szCs w:val="22"/>
                <w:highlight w:val="yellow"/>
              </w:rPr>
            </w:pPr>
            <w:r>
              <w:rPr>
                <w:rFonts w:ascii="Calibri" w:hAnsi="Calibri" w:cs="Calibri"/>
                <w:sz w:val="22"/>
                <w:szCs w:val="22"/>
              </w:rPr>
              <w:t>Proszę o analizę i korektę opisu założeń</w:t>
            </w:r>
          </w:p>
        </w:tc>
        <w:tc>
          <w:tcPr>
            <w:tcW w:w="4861" w:type="dxa"/>
            <w:tcBorders>
              <w:top w:val="single" w:sz="4" w:space="0" w:color="000000"/>
              <w:left w:val="single" w:sz="4" w:space="0" w:color="000000"/>
              <w:bottom w:val="single" w:sz="4" w:space="0" w:color="000000"/>
              <w:right w:val="single" w:sz="4" w:space="0" w:color="000000"/>
            </w:tcBorders>
          </w:tcPr>
          <w:p w14:paraId="044AEC21" w14:textId="77777777" w:rsidR="000F01F1" w:rsidRDefault="00507EF5">
            <w:pPr>
              <w:rPr>
                <w:rFonts w:ascii="Calibri" w:hAnsi="Calibri" w:cs="Calibri"/>
                <w:sz w:val="22"/>
                <w:szCs w:val="22"/>
              </w:rPr>
            </w:pPr>
            <w:r>
              <w:rPr>
                <w:rFonts w:ascii="Calibri" w:hAnsi="Calibri" w:cs="Calibri"/>
                <w:sz w:val="22"/>
                <w:szCs w:val="22"/>
              </w:rPr>
              <w:t>Po analizie proponowanych zmian Wnioskodawca stoi na stanowisku, że obecnie zdefiniowana liczba kamieni milowych jest wystarczająca do monitorowania postępu prac i zapewnienia kontroli nad realizacją projektu. Kamienie milowe zostały zaplanowane w sposób szczegółowy i obejmują kluczowe etapy prac, co w ocenie Wnioskodawcy, umożliwia skuteczne śledzenie wykonalności projektu bez konieczności ich dalszej rozbudowy.</w:t>
            </w:r>
          </w:p>
          <w:p w14:paraId="49515853" w14:textId="77777777" w:rsidR="000F01F1" w:rsidRDefault="00507EF5">
            <w:pPr>
              <w:rPr>
                <w:rFonts w:ascii="Calibri" w:hAnsi="Calibri" w:cs="Calibri"/>
                <w:sz w:val="22"/>
                <w:szCs w:val="22"/>
              </w:rPr>
            </w:pPr>
            <w:r>
              <w:rPr>
                <w:rFonts w:ascii="Calibri" w:hAnsi="Calibri" w:cs="Calibri"/>
                <w:sz w:val="22"/>
                <w:szCs w:val="22"/>
              </w:rPr>
              <w:t xml:space="preserve">Odnosząc się do sugestii przeprowadzenia testów użyteczności oraz włączenia protokołu ich oceny jako metody pomiaru KPI dla wersji testowej, Wnioskodawca uważa, że na obecnym etapie nie jest możliwe zdefiniowanie miarodajnych kryteriów dla takiej oceny. Dodatkowo, na etapie powstania wersji testowej nie będzie możliwości zaangażowania użytkowników końcowych, co uniemożliwia przeprowadzenie pełnowartościowych testów użyteczności. W </w:t>
            </w:r>
            <w:r>
              <w:rPr>
                <w:rFonts w:ascii="Calibri" w:hAnsi="Calibri" w:cs="Calibri"/>
                <w:sz w:val="22"/>
                <w:szCs w:val="22"/>
              </w:rPr>
              <w:lastRenderedPageBreak/>
              <w:t>związku z tym proponowana metoda nie dawałaby wiarygodnych rezultatów ani nie wnosiłaby dodatkowej wartości do oceny realizacji KPI. Nadmienić należy, że podstawowym celem wersji testowej jest weryfikacja funkcjonalności wdrożonego systemu, której wynik jest elementem odbiorów oprogramowania. Zakłada się, że ocena użyteczności przeprowadzona zostanie na etapie pilotażu (ankieta oceny użyteczności e-usługi).</w:t>
            </w:r>
          </w:p>
          <w:p w14:paraId="50B633AE" w14:textId="77777777" w:rsidR="000F01F1" w:rsidRDefault="00507EF5">
            <w:pPr>
              <w:rPr>
                <w:rFonts w:ascii="Calibri" w:hAnsi="Calibri" w:cs="Calibri"/>
                <w:sz w:val="22"/>
                <w:szCs w:val="22"/>
              </w:rPr>
            </w:pPr>
            <w:r>
              <w:rPr>
                <w:rFonts w:ascii="Calibri" w:hAnsi="Calibri" w:cs="Calibri"/>
                <w:sz w:val="22"/>
                <w:szCs w:val="22"/>
              </w:rPr>
              <w:t xml:space="preserve">W zakresie wskaźników dotyczących szkoleń pragniemy wyjaśnić, że zostały one ujęte w projekcie. Wskaźnik będzie mierzony przyrostowo, wraz z kolejnymi, włączanymi do systemu </w:t>
            </w:r>
            <w:proofErr w:type="spellStart"/>
            <w:r>
              <w:rPr>
                <w:rFonts w:ascii="Calibri" w:hAnsi="Calibri" w:cs="Calibri"/>
                <w:sz w:val="22"/>
                <w:szCs w:val="22"/>
              </w:rPr>
              <w:t>ePUK</w:t>
            </w:r>
            <w:proofErr w:type="spellEnd"/>
            <w:r>
              <w:rPr>
                <w:rFonts w:ascii="Calibri" w:hAnsi="Calibri" w:cs="Calibri"/>
                <w:sz w:val="22"/>
                <w:szCs w:val="22"/>
              </w:rPr>
              <w:t xml:space="preserve"> placówkami. Dodatkowe wprowadzenie kolejnych wskaźników dot. szkoleń byłoby nieuzasadnione i zaburzałoby logikę struktury celów oraz przypisanych im wskaźników.</w:t>
            </w:r>
          </w:p>
          <w:p w14:paraId="78E977A5" w14:textId="77777777" w:rsidR="000F01F1" w:rsidRDefault="00507EF5">
            <w:pPr>
              <w:rPr>
                <w:rFonts w:ascii="Calibri" w:hAnsi="Calibri" w:cs="Calibri"/>
                <w:sz w:val="22"/>
                <w:szCs w:val="22"/>
              </w:rPr>
            </w:pPr>
            <w:r>
              <w:rPr>
                <w:rFonts w:ascii="Calibri" w:hAnsi="Calibri" w:cs="Calibri"/>
                <w:sz w:val="22"/>
                <w:szCs w:val="22"/>
              </w:rPr>
              <w:t>Mając na uwadze powyższe argumenty, Wnioskodawca pozostaje przy dotychczasowych założeniach dotyczących metod pomiaru oraz harmonogramu kamieni milowych.</w:t>
            </w:r>
          </w:p>
        </w:tc>
      </w:tr>
      <w:tr w:rsidR="000F01F1" w14:paraId="692D9F7B" w14:textId="77777777">
        <w:tc>
          <w:tcPr>
            <w:tcW w:w="561" w:type="dxa"/>
            <w:tcBorders>
              <w:top w:val="single" w:sz="4" w:space="0" w:color="000000"/>
              <w:left w:val="single" w:sz="4" w:space="0" w:color="000000"/>
              <w:bottom w:val="single" w:sz="4" w:space="0" w:color="000000"/>
              <w:right w:val="single" w:sz="4" w:space="0" w:color="000000"/>
            </w:tcBorders>
          </w:tcPr>
          <w:p w14:paraId="23B51EFC" w14:textId="77777777" w:rsidR="000F01F1" w:rsidRDefault="000F01F1">
            <w:pPr>
              <w:numPr>
                <w:ilvl w:val="0"/>
                <w:numId w:val="1"/>
              </w:numPr>
              <w:spacing w:after="0" w:line="240" w:lineRule="auto"/>
              <w:ind w:left="113" w:firstLine="0"/>
              <w:jc w:val="center"/>
              <w:rPr>
                <w:rFonts w:ascii="Calibri" w:hAnsi="Calibri" w:cs="Calibri"/>
                <w:b/>
                <w:sz w:val="22"/>
                <w:szCs w:val="22"/>
              </w:rPr>
            </w:pPr>
          </w:p>
        </w:tc>
        <w:tc>
          <w:tcPr>
            <w:tcW w:w="1133" w:type="dxa"/>
            <w:tcBorders>
              <w:top w:val="single" w:sz="4" w:space="0" w:color="000000"/>
              <w:left w:val="single" w:sz="4" w:space="0" w:color="000000"/>
              <w:bottom w:val="single" w:sz="4" w:space="0" w:color="000000"/>
              <w:right w:val="single" w:sz="4" w:space="0" w:color="000000"/>
            </w:tcBorders>
          </w:tcPr>
          <w:p w14:paraId="76727153" w14:textId="77777777" w:rsidR="000F01F1" w:rsidRDefault="00507EF5">
            <w:pPr>
              <w:jc w:val="center"/>
              <w:rPr>
                <w:rFonts w:ascii="Calibri" w:hAnsi="Calibri" w:cs="Calibri"/>
                <w:b/>
                <w:sz w:val="22"/>
                <w:szCs w:val="22"/>
              </w:rPr>
            </w:pPr>
            <w:r>
              <w:rPr>
                <w:rFonts w:ascii="Calibri" w:hAnsi="Calibri" w:cs="Calibri"/>
                <w:b/>
                <w:sz w:val="22"/>
                <w:szCs w:val="22"/>
              </w:rPr>
              <w:t>RA IT</w:t>
            </w:r>
          </w:p>
        </w:tc>
        <w:tc>
          <w:tcPr>
            <w:tcW w:w="1845" w:type="dxa"/>
            <w:tcBorders>
              <w:top w:val="single" w:sz="4" w:space="0" w:color="000000"/>
              <w:left w:val="single" w:sz="4" w:space="0" w:color="000000"/>
              <w:bottom w:val="single" w:sz="4" w:space="0" w:color="000000"/>
              <w:right w:val="single" w:sz="4" w:space="0" w:color="000000"/>
            </w:tcBorders>
          </w:tcPr>
          <w:p w14:paraId="1F727DCE" w14:textId="77777777" w:rsidR="000F01F1" w:rsidRDefault="00507EF5">
            <w:pPr>
              <w:jc w:val="center"/>
              <w:rPr>
                <w:rFonts w:ascii="Calibri" w:hAnsi="Calibri" w:cs="Calibri"/>
                <w:bCs/>
                <w:sz w:val="22"/>
                <w:szCs w:val="22"/>
              </w:rPr>
            </w:pPr>
            <w:r>
              <w:rPr>
                <w:rFonts w:ascii="Calibri" w:hAnsi="Calibri" w:cs="Calibri"/>
                <w:bCs/>
                <w:sz w:val="22"/>
                <w:szCs w:val="22"/>
              </w:rPr>
              <w:t>2.1. Cele i korzyści wynikające z projektu</w:t>
            </w:r>
          </w:p>
        </w:tc>
        <w:tc>
          <w:tcPr>
            <w:tcW w:w="5407" w:type="dxa"/>
            <w:tcBorders>
              <w:top w:val="single" w:sz="4" w:space="0" w:color="000000"/>
              <w:left w:val="single" w:sz="4" w:space="0" w:color="000000"/>
              <w:bottom w:val="single" w:sz="4" w:space="0" w:color="000000"/>
              <w:right w:val="single" w:sz="4" w:space="0" w:color="000000"/>
            </w:tcBorders>
          </w:tcPr>
          <w:p w14:paraId="06511D09" w14:textId="77777777" w:rsidR="000F01F1" w:rsidRDefault="00507EF5">
            <w:pPr>
              <w:rPr>
                <w:rFonts w:ascii="Calibri" w:hAnsi="Calibri" w:cs="Calibri"/>
                <w:iCs/>
                <w:sz w:val="22"/>
                <w:szCs w:val="22"/>
              </w:rPr>
            </w:pPr>
            <w:r>
              <w:rPr>
                <w:rFonts w:ascii="Calibri" w:hAnsi="Calibri" w:cs="Calibri"/>
                <w:iCs/>
                <w:sz w:val="22"/>
                <w:szCs w:val="22"/>
              </w:rPr>
              <w:t xml:space="preserve">Cel 2. KPI 3 – Czas potrzebny na wprowadzenie danych do wniosku do systemu </w:t>
            </w:r>
            <w:proofErr w:type="spellStart"/>
            <w:r>
              <w:rPr>
                <w:rFonts w:ascii="Calibri" w:hAnsi="Calibri" w:cs="Calibri"/>
                <w:iCs/>
                <w:sz w:val="22"/>
                <w:szCs w:val="22"/>
              </w:rPr>
              <w:t>ePUK</w:t>
            </w:r>
            <w:proofErr w:type="spellEnd"/>
            <w:r>
              <w:rPr>
                <w:rFonts w:ascii="Calibri" w:hAnsi="Calibri" w:cs="Calibri"/>
                <w:iCs/>
                <w:sz w:val="22"/>
                <w:szCs w:val="22"/>
              </w:rPr>
              <w:t xml:space="preserve">. Uwaga jak wyżej i dodatkowo proszę o przeprowadzenia testów z zaangażowaniem potencjalnych użytkowników na systemie testowym i potwierdzenie iż czas wymagany do wprowadzenia danych wniosku klienta zostanie skrócony do 0 min. </w:t>
            </w:r>
          </w:p>
        </w:tc>
        <w:tc>
          <w:tcPr>
            <w:tcW w:w="1752" w:type="dxa"/>
            <w:tcBorders>
              <w:top w:val="single" w:sz="4" w:space="0" w:color="000000"/>
              <w:left w:val="single" w:sz="4" w:space="0" w:color="000000"/>
              <w:bottom w:val="single" w:sz="4" w:space="0" w:color="000000"/>
              <w:right w:val="single" w:sz="4" w:space="0" w:color="000000"/>
            </w:tcBorders>
          </w:tcPr>
          <w:p w14:paraId="70D38389" w14:textId="77777777" w:rsidR="000F01F1" w:rsidRDefault="00507EF5">
            <w:pPr>
              <w:jc w:val="center"/>
              <w:rPr>
                <w:rFonts w:ascii="Calibri" w:hAnsi="Calibri" w:cs="Calibri"/>
                <w:sz w:val="22"/>
                <w:szCs w:val="22"/>
              </w:rPr>
            </w:pPr>
            <w:r>
              <w:rPr>
                <w:rFonts w:ascii="Calibri" w:hAnsi="Calibri" w:cs="Calibri"/>
                <w:sz w:val="22"/>
                <w:szCs w:val="22"/>
              </w:rPr>
              <w:t>Proszę o analizę i korektę opisu założeń</w:t>
            </w:r>
          </w:p>
        </w:tc>
        <w:tc>
          <w:tcPr>
            <w:tcW w:w="4861" w:type="dxa"/>
            <w:tcBorders>
              <w:top w:val="single" w:sz="4" w:space="0" w:color="000000"/>
              <w:left w:val="single" w:sz="4" w:space="0" w:color="000000"/>
              <w:bottom w:val="single" w:sz="4" w:space="0" w:color="000000"/>
              <w:right w:val="single" w:sz="4" w:space="0" w:color="000000"/>
            </w:tcBorders>
          </w:tcPr>
          <w:p w14:paraId="7D6A117B" w14:textId="2D2B08AC" w:rsidR="000F01F1" w:rsidRDefault="00F0411B">
            <w:pPr>
              <w:rPr>
                <w:rFonts w:ascii="Calibri" w:hAnsi="Calibri" w:cs="Calibri"/>
                <w:sz w:val="22"/>
                <w:szCs w:val="22"/>
              </w:rPr>
            </w:pPr>
            <w:r>
              <w:rPr>
                <w:rFonts w:ascii="Calibri" w:hAnsi="Calibri" w:cs="Calibri"/>
                <w:sz w:val="22"/>
                <w:szCs w:val="22"/>
              </w:rPr>
              <w:t xml:space="preserve">W obecnym systemie zdecydowana większość danych (z wniosków, formularzy, </w:t>
            </w:r>
            <w:r w:rsidR="003C502A">
              <w:rPr>
                <w:rFonts w:ascii="Calibri" w:hAnsi="Calibri" w:cs="Calibri"/>
                <w:sz w:val="22"/>
                <w:szCs w:val="22"/>
              </w:rPr>
              <w:t xml:space="preserve">również </w:t>
            </w:r>
            <w:r>
              <w:rPr>
                <w:rFonts w:ascii="Calibri" w:hAnsi="Calibri" w:cs="Calibri"/>
                <w:sz w:val="22"/>
                <w:szCs w:val="22"/>
              </w:rPr>
              <w:t>metad</w:t>
            </w:r>
            <w:r w:rsidR="003C502A">
              <w:rPr>
                <w:rFonts w:ascii="Calibri" w:hAnsi="Calibri" w:cs="Calibri"/>
                <w:sz w:val="22"/>
                <w:szCs w:val="22"/>
              </w:rPr>
              <w:t xml:space="preserve">anych) </w:t>
            </w:r>
            <w:r>
              <w:rPr>
                <w:rFonts w:ascii="Calibri" w:hAnsi="Calibri" w:cs="Calibri"/>
                <w:sz w:val="22"/>
                <w:szCs w:val="22"/>
              </w:rPr>
              <w:t xml:space="preserve">jest wprowadzana do systemu konsularnego ręcznie przez użytkowników. Dla </w:t>
            </w:r>
            <w:proofErr w:type="spellStart"/>
            <w:r>
              <w:rPr>
                <w:rFonts w:ascii="Calibri" w:hAnsi="Calibri" w:cs="Calibri"/>
                <w:sz w:val="22"/>
                <w:szCs w:val="22"/>
              </w:rPr>
              <w:t>ePUK</w:t>
            </w:r>
            <w:proofErr w:type="spellEnd"/>
            <w:r>
              <w:rPr>
                <w:rFonts w:ascii="Calibri" w:hAnsi="Calibri" w:cs="Calibri"/>
                <w:sz w:val="22"/>
                <w:szCs w:val="22"/>
              </w:rPr>
              <w:t xml:space="preserve"> zakładamy, że nie będzie </w:t>
            </w:r>
            <w:r w:rsidR="003C502A">
              <w:rPr>
                <w:rFonts w:ascii="Calibri" w:hAnsi="Calibri" w:cs="Calibri"/>
                <w:sz w:val="22"/>
                <w:szCs w:val="22"/>
              </w:rPr>
              <w:t xml:space="preserve">to </w:t>
            </w:r>
            <w:r>
              <w:rPr>
                <w:rFonts w:ascii="Calibri" w:hAnsi="Calibri" w:cs="Calibri"/>
                <w:sz w:val="22"/>
                <w:szCs w:val="22"/>
              </w:rPr>
              <w:t xml:space="preserve">wcale </w:t>
            </w:r>
            <w:r w:rsidR="003C502A">
              <w:rPr>
                <w:rFonts w:ascii="Calibri" w:hAnsi="Calibri" w:cs="Calibri"/>
                <w:sz w:val="22"/>
                <w:szCs w:val="22"/>
              </w:rPr>
              <w:t xml:space="preserve">potrzebne dzięki wprowadzeniu formularzy on-line i przekazywaniu </w:t>
            </w:r>
            <w:r w:rsidR="003C502A">
              <w:rPr>
                <w:rFonts w:ascii="Calibri" w:hAnsi="Calibri" w:cs="Calibri"/>
                <w:sz w:val="22"/>
                <w:szCs w:val="22"/>
              </w:rPr>
              <w:lastRenderedPageBreak/>
              <w:t xml:space="preserve">danych do  </w:t>
            </w:r>
            <w:r>
              <w:rPr>
                <w:rFonts w:ascii="Calibri" w:hAnsi="Calibri" w:cs="Calibri"/>
                <w:sz w:val="22"/>
                <w:szCs w:val="22"/>
              </w:rPr>
              <w:t xml:space="preserve">systemu </w:t>
            </w:r>
            <w:proofErr w:type="spellStart"/>
            <w:r>
              <w:rPr>
                <w:rFonts w:ascii="Calibri" w:hAnsi="Calibri" w:cs="Calibri"/>
                <w:sz w:val="22"/>
                <w:szCs w:val="22"/>
              </w:rPr>
              <w:t>back-office</w:t>
            </w:r>
            <w:proofErr w:type="spellEnd"/>
            <w:r w:rsidR="003C502A">
              <w:rPr>
                <w:rFonts w:ascii="Calibri" w:hAnsi="Calibri" w:cs="Calibri"/>
                <w:sz w:val="22"/>
                <w:szCs w:val="22"/>
              </w:rPr>
              <w:t>. Testy będą prowadzone, ale czynność wprowadzenia danych z wniosku klienta w nich nie wystąpi.</w:t>
            </w:r>
          </w:p>
        </w:tc>
      </w:tr>
      <w:tr w:rsidR="000F01F1" w14:paraId="100EBF81" w14:textId="77777777">
        <w:tc>
          <w:tcPr>
            <w:tcW w:w="561" w:type="dxa"/>
            <w:tcBorders>
              <w:top w:val="single" w:sz="4" w:space="0" w:color="000000"/>
              <w:left w:val="single" w:sz="4" w:space="0" w:color="000000"/>
              <w:bottom w:val="single" w:sz="4" w:space="0" w:color="000000"/>
              <w:right w:val="single" w:sz="4" w:space="0" w:color="000000"/>
            </w:tcBorders>
          </w:tcPr>
          <w:p w14:paraId="164C1F02" w14:textId="77777777" w:rsidR="000F01F1" w:rsidRDefault="000F01F1">
            <w:pPr>
              <w:numPr>
                <w:ilvl w:val="0"/>
                <w:numId w:val="1"/>
              </w:numPr>
              <w:spacing w:after="0" w:line="240" w:lineRule="auto"/>
              <w:ind w:left="113" w:firstLine="0"/>
              <w:jc w:val="center"/>
              <w:rPr>
                <w:rFonts w:ascii="Calibri" w:hAnsi="Calibri" w:cs="Calibri"/>
                <w:b/>
                <w:sz w:val="22"/>
                <w:szCs w:val="22"/>
              </w:rPr>
            </w:pPr>
          </w:p>
        </w:tc>
        <w:tc>
          <w:tcPr>
            <w:tcW w:w="1133" w:type="dxa"/>
            <w:tcBorders>
              <w:top w:val="single" w:sz="4" w:space="0" w:color="000000"/>
              <w:left w:val="single" w:sz="4" w:space="0" w:color="000000"/>
              <w:bottom w:val="single" w:sz="4" w:space="0" w:color="000000"/>
              <w:right w:val="single" w:sz="4" w:space="0" w:color="000000"/>
            </w:tcBorders>
          </w:tcPr>
          <w:p w14:paraId="014E43BB" w14:textId="77777777" w:rsidR="000F01F1" w:rsidRDefault="00507EF5">
            <w:pPr>
              <w:jc w:val="center"/>
              <w:rPr>
                <w:rFonts w:ascii="Calibri" w:hAnsi="Calibri" w:cs="Calibri"/>
                <w:b/>
                <w:sz w:val="22"/>
                <w:szCs w:val="22"/>
              </w:rPr>
            </w:pPr>
            <w:r>
              <w:rPr>
                <w:rFonts w:ascii="Calibri" w:hAnsi="Calibri" w:cs="Calibri"/>
                <w:b/>
                <w:sz w:val="22"/>
                <w:szCs w:val="22"/>
              </w:rPr>
              <w:t>RA IT</w:t>
            </w:r>
          </w:p>
        </w:tc>
        <w:tc>
          <w:tcPr>
            <w:tcW w:w="1845" w:type="dxa"/>
            <w:tcBorders>
              <w:top w:val="single" w:sz="4" w:space="0" w:color="000000"/>
              <w:left w:val="single" w:sz="4" w:space="0" w:color="000000"/>
              <w:bottom w:val="single" w:sz="4" w:space="0" w:color="000000"/>
              <w:right w:val="single" w:sz="4" w:space="0" w:color="000000"/>
            </w:tcBorders>
          </w:tcPr>
          <w:p w14:paraId="328912A9" w14:textId="77777777" w:rsidR="000F01F1" w:rsidRDefault="00507EF5">
            <w:pPr>
              <w:jc w:val="center"/>
              <w:rPr>
                <w:rFonts w:ascii="Calibri" w:hAnsi="Calibri" w:cs="Calibri"/>
                <w:bCs/>
                <w:sz w:val="22"/>
                <w:szCs w:val="22"/>
              </w:rPr>
            </w:pPr>
            <w:r>
              <w:rPr>
                <w:rFonts w:ascii="Calibri" w:hAnsi="Calibri" w:cs="Calibri"/>
                <w:bCs/>
                <w:sz w:val="22"/>
                <w:szCs w:val="22"/>
              </w:rPr>
              <w:t>2.1. Cele i korzyści wynikające z projektu</w:t>
            </w:r>
          </w:p>
        </w:tc>
        <w:tc>
          <w:tcPr>
            <w:tcW w:w="5407" w:type="dxa"/>
            <w:tcBorders>
              <w:top w:val="single" w:sz="4" w:space="0" w:color="000000"/>
              <w:left w:val="single" w:sz="4" w:space="0" w:color="000000"/>
              <w:bottom w:val="single" w:sz="4" w:space="0" w:color="000000"/>
              <w:right w:val="single" w:sz="4" w:space="0" w:color="000000"/>
            </w:tcBorders>
          </w:tcPr>
          <w:p w14:paraId="4F9D99F0" w14:textId="77777777" w:rsidR="000F01F1" w:rsidRDefault="00507EF5">
            <w:pPr>
              <w:rPr>
                <w:rFonts w:ascii="Calibri" w:hAnsi="Calibri" w:cs="Calibri"/>
                <w:iCs/>
                <w:sz w:val="22"/>
                <w:szCs w:val="22"/>
              </w:rPr>
            </w:pPr>
            <w:r>
              <w:rPr>
                <w:rFonts w:ascii="Calibri" w:hAnsi="Calibri" w:cs="Calibri"/>
                <w:iCs/>
                <w:sz w:val="22"/>
                <w:szCs w:val="22"/>
              </w:rPr>
              <w:t xml:space="preserve">Cel 3. KPI 1. Proszę o doprecyzowanie jakich 5 rozwiązań z obszaru </w:t>
            </w:r>
            <w:proofErr w:type="spellStart"/>
            <w:r>
              <w:rPr>
                <w:rFonts w:ascii="Calibri" w:hAnsi="Calibri" w:cs="Calibri"/>
                <w:iCs/>
                <w:sz w:val="22"/>
                <w:szCs w:val="22"/>
              </w:rPr>
              <w:t>back-office</w:t>
            </w:r>
            <w:proofErr w:type="spellEnd"/>
            <w:r>
              <w:rPr>
                <w:rFonts w:ascii="Calibri" w:hAnsi="Calibri" w:cs="Calibri"/>
                <w:iCs/>
                <w:sz w:val="22"/>
                <w:szCs w:val="22"/>
              </w:rPr>
              <w:t xml:space="preserve"> zostanie wdrożonych. Proszę również (jak w pkt 2) o wskazanie kluczowych wskaźników efektywności dla ww. rozwiązań.  </w:t>
            </w:r>
          </w:p>
          <w:p w14:paraId="6C276889" w14:textId="77777777" w:rsidR="000F01F1" w:rsidRDefault="000F01F1">
            <w:pPr>
              <w:rPr>
                <w:rFonts w:ascii="Calibri" w:hAnsi="Calibri" w:cs="Calibri"/>
                <w:iCs/>
                <w:sz w:val="22"/>
                <w:szCs w:val="22"/>
              </w:rPr>
            </w:pPr>
          </w:p>
        </w:tc>
        <w:tc>
          <w:tcPr>
            <w:tcW w:w="1752" w:type="dxa"/>
            <w:tcBorders>
              <w:top w:val="single" w:sz="4" w:space="0" w:color="000000"/>
              <w:left w:val="single" w:sz="4" w:space="0" w:color="000000"/>
              <w:bottom w:val="single" w:sz="4" w:space="0" w:color="000000"/>
              <w:right w:val="single" w:sz="4" w:space="0" w:color="000000"/>
            </w:tcBorders>
          </w:tcPr>
          <w:p w14:paraId="3EE237EC" w14:textId="77777777" w:rsidR="000F01F1" w:rsidRDefault="00507EF5">
            <w:pPr>
              <w:jc w:val="center"/>
              <w:rPr>
                <w:rFonts w:ascii="Calibri" w:hAnsi="Calibri" w:cs="Calibri"/>
                <w:sz w:val="22"/>
                <w:szCs w:val="22"/>
              </w:rPr>
            </w:pPr>
            <w:r>
              <w:rPr>
                <w:rFonts w:ascii="Calibri" w:hAnsi="Calibri" w:cs="Calibri"/>
                <w:sz w:val="22"/>
                <w:szCs w:val="22"/>
              </w:rPr>
              <w:t>Proszę o wyjaśnienie / doprecyzowanie</w:t>
            </w:r>
          </w:p>
        </w:tc>
        <w:tc>
          <w:tcPr>
            <w:tcW w:w="4861" w:type="dxa"/>
            <w:tcBorders>
              <w:top w:val="single" w:sz="4" w:space="0" w:color="000000"/>
              <w:left w:val="single" w:sz="4" w:space="0" w:color="000000"/>
              <w:bottom w:val="single" w:sz="4" w:space="0" w:color="000000"/>
              <w:right w:val="single" w:sz="4" w:space="0" w:color="000000"/>
            </w:tcBorders>
          </w:tcPr>
          <w:p w14:paraId="07881ECC" w14:textId="77777777" w:rsidR="000F01F1" w:rsidRDefault="00507EF5">
            <w:pPr>
              <w:rPr>
                <w:rFonts w:ascii="Calibri" w:hAnsi="Calibri" w:cs="Calibri"/>
                <w:sz w:val="22"/>
                <w:szCs w:val="22"/>
              </w:rPr>
            </w:pPr>
            <w:r>
              <w:rPr>
                <w:rFonts w:ascii="Calibri" w:hAnsi="Calibri" w:cs="Calibri"/>
                <w:sz w:val="22"/>
                <w:szCs w:val="22"/>
              </w:rPr>
              <w:t xml:space="preserve">Planowane do wdrożenia rozwiązania z obszaru </w:t>
            </w:r>
            <w:proofErr w:type="spellStart"/>
            <w:r>
              <w:rPr>
                <w:rFonts w:ascii="Calibri" w:hAnsi="Calibri" w:cs="Calibri"/>
                <w:sz w:val="22"/>
                <w:szCs w:val="22"/>
              </w:rPr>
              <w:t>back-office</w:t>
            </w:r>
            <w:proofErr w:type="spellEnd"/>
            <w:r>
              <w:rPr>
                <w:rFonts w:ascii="Calibri" w:hAnsi="Calibri" w:cs="Calibri"/>
                <w:sz w:val="22"/>
                <w:szCs w:val="22"/>
              </w:rPr>
              <w:t xml:space="preserve"> dla 5 kluczowych obszarów funkcjonalnych dotyczą:</w:t>
            </w:r>
          </w:p>
          <w:p w14:paraId="0C122538" w14:textId="77777777" w:rsidR="000F01F1" w:rsidRDefault="00507EF5">
            <w:pPr>
              <w:rPr>
                <w:rFonts w:ascii="Calibri" w:hAnsi="Calibri" w:cs="Calibri"/>
                <w:sz w:val="22"/>
                <w:szCs w:val="22"/>
              </w:rPr>
            </w:pPr>
            <w:r>
              <w:rPr>
                <w:rFonts w:ascii="Calibri" w:hAnsi="Calibri" w:cs="Calibri"/>
                <w:sz w:val="22"/>
                <w:szCs w:val="22"/>
              </w:rPr>
              <w:t>1. administracji systemem (funkcjonalności dotyczące automatyzacji aktualizacji oprogramowania systemowego, centralne zarządzanie wersjami oraz uproszczony proces dystrybucji zmian).</w:t>
            </w:r>
          </w:p>
          <w:p w14:paraId="2F2A9628" w14:textId="77777777" w:rsidR="000F01F1" w:rsidRDefault="00507EF5">
            <w:pPr>
              <w:rPr>
                <w:rFonts w:ascii="Calibri" w:hAnsi="Calibri" w:cs="Calibri"/>
                <w:sz w:val="22"/>
                <w:szCs w:val="22"/>
              </w:rPr>
            </w:pPr>
            <w:r>
              <w:rPr>
                <w:rFonts w:ascii="Calibri" w:hAnsi="Calibri" w:cs="Calibri"/>
                <w:sz w:val="22"/>
                <w:szCs w:val="22"/>
              </w:rPr>
              <w:t>2. zarządzania słownikami i konfiguracją (umożliwi scentralizowaną, prostszą i szybszą aktualizację słowników oraz parametrów systemowych bez konieczności ręcznego modyfikowania wielu elementów).</w:t>
            </w:r>
          </w:p>
          <w:p w14:paraId="0FCF5AF2" w14:textId="77777777" w:rsidR="000F01F1" w:rsidRDefault="00507EF5">
            <w:pPr>
              <w:rPr>
                <w:rFonts w:ascii="Calibri" w:hAnsi="Calibri" w:cs="Calibri"/>
                <w:sz w:val="22"/>
                <w:szCs w:val="22"/>
              </w:rPr>
            </w:pPr>
            <w:r>
              <w:rPr>
                <w:rFonts w:ascii="Calibri" w:hAnsi="Calibri" w:cs="Calibri"/>
                <w:sz w:val="22"/>
                <w:szCs w:val="22"/>
              </w:rPr>
              <w:t>3. zarządzania uprawnieniami użytkowników (wdrożenie elektronicznych rejestrów uprawnień usprawni proces nadawania, zmiany i odbierania uprawnień, w tym umożliwi automatyczne nadawanie ról, np. na podstawie profili stanowiskowych).</w:t>
            </w:r>
          </w:p>
          <w:p w14:paraId="20E0A44C" w14:textId="77777777" w:rsidR="000F01F1" w:rsidRDefault="00507EF5">
            <w:pPr>
              <w:rPr>
                <w:rFonts w:ascii="Calibri" w:hAnsi="Calibri" w:cs="Calibri"/>
                <w:sz w:val="22"/>
                <w:szCs w:val="22"/>
              </w:rPr>
            </w:pPr>
            <w:r>
              <w:rPr>
                <w:rFonts w:ascii="Calibri" w:hAnsi="Calibri" w:cs="Calibri"/>
                <w:sz w:val="22"/>
                <w:szCs w:val="22"/>
              </w:rPr>
              <w:t xml:space="preserve">4. wykonywania analiz i raportowania (służący do generowania raportów i wykonywania analiz, </w:t>
            </w:r>
            <w:r>
              <w:rPr>
                <w:rFonts w:ascii="Calibri" w:hAnsi="Calibri" w:cs="Calibri"/>
                <w:sz w:val="22"/>
                <w:szCs w:val="22"/>
              </w:rPr>
              <w:lastRenderedPageBreak/>
              <w:t>również w sposób automatyczny, z możliwością harmonogramowania oraz eksportu danych).</w:t>
            </w:r>
          </w:p>
          <w:p w14:paraId="650BBBCB" w14:textId="77777777" w:rsidR="000F01F1" w:rsidRDefault="00507EF5">
            <w:pPr>
              <w:rPr>
                <w:rFonts w:ascii="Calibri" w:hAnsi="Calibri" w:cs="Calibri"/>
                <w:sz w:val="22"/>
                <w:szCs w:val="22"/>
              </w:rPr>
            </w:pPr>
            <w:r>
              <w:rPr>
                <w:rFonts w:ascii="Calibri" w:hAnsi="Calibri" w:cs="Calibri"/>
                <w:sz w:val="22"/>
                <w:szCs w:val="22"/>
              </w:rPr>
              <w:t xml:space="preserve">5. monitorowania bezpieczeństwa i logów zdarzeń (zapewni bieżący nadzór nad integralnością systemu, </w:t>
            </w:r>
            <w:proofErr w:type="spellStart"/>
            <w:r>
              <w:rPr>
                <w:rFonts w:ascii="Calibri" w:hAnsi="Calibri" w:cs="Calibri"/>
                <w:sz w:val="22"/>
                <w:szCs w:val="22"/>
              </w:rPr>
              <w:t>alertowanie</w:t>
            </w:r>
            <w:proofErr w:type="spellEnd"/>
            <w:r>
              <w:rPr>
                <w:rFonts w:ascii="Calibri" w:hAnsi="Calibri" w:cs="Calibri"/>
                <w:sz w:val="22"/>
                <w:szCs w:val="22"/>
              </w:rPr>
              <w:t xml:space="preserve"> o zdarzeniach bezpieczeństwa, centralne logowanie i analizę incydentów).</w:t>
            </w:r>
          </w:p>
          <w:p w14:paraId="0E303FD4" w14:textId="478B1BFE" w:rsidR="000F01F1" w:rsidRDefault="00507EF5">
            <w:r>
              <w:rPr>
                <w:rFonts w:ascii="Calibri" w:hAnsi="Calibri" w:cs="Calibri"/>
                <w:sz w:val="22"/>
                <w:szCs w:val="22"/>
              </w:rPr>
              <w:t xml:space="preserve">Kluczowe wskaźniki efektywności wskazanych rozwiązań </w:t>
            </w:r>
            <w:proofErr w:type="spellStart"/>
            <w:r>
              <w:rPr>
                <w:rFonts w:ascii="Calibri" w:hAnsi="Calibri" w:cs="Calibri"/>
                <w:sz w:val="22"/>
                <w:szCs w:val="22"/>
              </w:rPr>
              <w:t>back-office</w:t>
            </w:r>
            <w:proofErr w:type="spellEnd"/>
            <w:r w:rsidR="003B75D4">
              <w:rPr>
                <w:rFonts w:ascii="Calibri" w:hAnsi="Calibri" w:cs="Calibri"/>
                <w:sz w:val="22"/>
                <w:szCs w:val="22"/>
              </w:rPr>
              <w:t xml:space="preserve">: </w:t>
            </w:r>
          </w:p>
          <w:p w14:paraId="6C0D5CC3" w14:textId="77777777" w:rsidR="000F01F1" w:rsidRDefault="00507EF5">
            <w:pPr>
              <w:rPr>
                <w:rFonts w:ascii="Calibri" w:hAnsi="Calibri" w:cs="Calibri"/>
                <w:sz w:val="22"/>
                <w:szCs w:val="22"/>
              </w:rPr>
            </w:pPr>
            <w:r>
              <w:rPr>
                <w:rFonts w:ascii="Calibri" w:hAnsi="Calibri" w:cs="Calibri"/>
                <w:sz w:val="22"/>
                <w:szCs w:val="22"/>
              </w:rPr>
              <w:t>1. Administracja systemem</w:t>
            </w:r>
          </w:p>
          <w:p w14:paraId="57ACA03F" w14:textId="77777777" w:rsidR="000F01F1" w:rsidRDefault="00507EF5">
            <w:pPr>
              <w:rPr>
                <w:rFonts w:ascii="Calibri" w:hAnsi="Calibri" w:cs="Calibri"/>
                <w:sz w:val="22"/>
                <w:szCs w:val="22"/>
              </w:rPr>
            </w:pPr>
            <w:r>
              <w:rPr>
                <w:rFonts w:ascii="Calibri" w:hAnsi="Calibri" w:cs="Calibri"/>
                <w:sz w:val="22"/>
                <w:szCs w:val="22"/>
              </w:rPr>
              <w:t>KPI 1.1 — Czas potrzebny na wykonanie aktualizacji systemu</w:t>
            </w:r>
          </w:p>
          <w:p w14:paraId="148C7106" w14:textId="77777777" w:rsidR="000F01F1" w:rsidRDefault="00507EF5">
            <w:pPr>
              <w:rPr>
                <w:rFonts w:ascii="Calibri" w:hAnsi="Calibri" w:cs="Calibri"/>
                <w:sz w:val="22"/>
                <w:szCs w:val="22"/>
              </w:rPr>
            </w:pPr>
            <w:r>
              <w:rPr>
                <w:rFonts w:ascii="Calibri" w:hAnsi="Calibri" w:cs="Calibri"/>
                <w:sz w:val="22"/>
                <w:szCs w:val="22"/>
              </w:rPr>
              <w:t>Wartość obecna: 8 godziny (aktualizacje wykonywane ręcznie w każdej placówce)</w:t>
            </w:r>
          </w:p>
          <w:p w14:paraId="6AD8A860" w14:textId="77777777" w:rsidR="000F01F1" w:rsidRPr="003B75D4" w:rsidRDefault="00507EF5">
            <w:pPr>
              <w:rPr>
                <w:rFonts w:ascii="Calibri" w:hAnsi="Calibri" w:cs="Calibri"/>
                <w:sz w:val="22"/>
                <w:szCs w:val="22"/>
              </w:rPr>
            </w:pPr>
            <w:r>
              <w:rPr>
                <w:rFonts w:ascii="Calibri" w:hAnsi="Calibri" w:cs="Calibri"/>
                <w:sz w:val="22"/>
                <w:szCs w:val="22"/>
              </w:rPr>
              <w:t xml:space="preserve">Wartość docelowa: 0 godzin (brak aktualizacji </w:t>
            </w:r>
            <w:r w:rsidRPr="003B75D4">
              <w:rPr>
                <w:rFonts w:ascii="Calibri" w:hAnsi="Calibri" w:cs="Calibri"/>
                <w:sz w:val="22"/>
                <w:szCs w:val="22"/>
              </w:rPr>
              <w:t>systemu na placówkach, system centralny)</w:t>
            </w:r>
          </w:p>
          <w:p w14:paraId="14C069BB" w14:textId="77777777" w:rsidR="000F01F1" w:rsidRPr="003B75D4" w:rsidRDefault="00507EF5">
            <w:pPr>
              <w:rPr>
                <w:rFonts w:ascii="Calibri" w:hAnsi="Calibri" w:cs="Calibri"/>
                <w:sz w:val="22"/>
                <w:szCs w:val="22"/>
              </w:rPr>
            </w:pPr>
            <w:r w:rsidRPr="003B75D4">
              <w:rPr>
                <w:rFonts w:ascii="Calibri" w:hAnsi="Calibri" w:cs="Calibri"/>
                <w:sz w:val="22"/>
                <w:szCs w:val="22"/>
              </w:rPr>
              <w:t xml:space="preserve">Metoda: dokumentacja techniczna – architektura fizyczna </w:t>
            </w:r>
            <w:proofErr w:type="spellStart"/>
            <w:r w:rsidRPr="003B75D4">
              <w:rPr>
                <w:rFonts w:ascii="Calibri" w:hAnsi="Calibri" w:cs="Calibri"/>
                <w:sz w:val="22"/>
                <w:szCs w:val="22"/>
              </w:rPr>
              <w:t>ePUK</w:t>
            </w:r>
            <w:proofErr w:type="spellEnd"/>
            <w:r w:rsidRPr="003B75D4">
              <w:rPr>
                <w:rFonts w:ascii="Calibri" w:hAnsi="Calibri" w:cs="Calibri"/>
                <w:sz w:val="22"/>
                <w:szCs w:val="22"/>
              </w:rPr>
              <w:t xml:space="preserve"> (porównanie z architekturą systemu Wiza-Konsul)</w:t>
            </w:r>
          </w:p>
          <w:p w14:paraId="34A4F257" w14:textId="77777777" w:rsidR="000F01F1" w:rsidRPr="003B75D4" w:rsidRDefault="00507EF5">
            <w:pPr>
              <w:rPr>
                <w:rFonts w:ascii="Calibri" w:hAnsi="Calibri" w:cs="Calibri"/>
                <w:sz w:val="22"/>
                <w:szCs w:val="22"/>
              </w:rPr>
            </w:pPr>
            <w:r w:rsidRPr="003B75D4">
              <w:rPr>
                <w:rFonts w:ascii="Calibri" w:hAnsi="Calibri" w:cs="Calibri"/>
                <w:sz w:val="22"/>
                <w:szCs w:val="22"/>
              </w:rPr>
              <w:t>Źródło: Dokumentacja powykonawcza</w:t>
            </w:r>
          </w:p>
          <w:p w14:paraId="36F1D16B" w14:textId="77777777" w:rsidR="000F01F1" w:rsidRPr="003B75D4" w:rsidRDefault="00507EF5">
            <w:pPr>
              <w:rPr>
                <w:rFonts w:ascii="Calibri" w:hAnsi="Calibri" w:cs="Calibri"/>
                <w:sz w:val="22"/>
                <w:szCs w:val="22"/>
              </w:rPr>
            </w:pPr>
            <w:r w:rsidRPr="003B75D4">
              <w:rPr>
                <w:rFonts w:ascii="Calibri" w:hAnsi="Calibri" w:cs="Calibri"/>
                <w:sz w:val="22"/>
                <w:szCs w:val="22"/>
              </w:rPr>
              <w:t>Częstotliwość: jednorazowo na koniec realizacji projektu</w:t>
            </w:r>
          </w:p>
          <w:p w14:paraId="75FBB93B" w14:textId="77777777" w:rsidR="000F01F1" w:rsidRDefault="00507EF5">
            <w:pPr>
              <w:rPr>
                <w:rFonts w:ascii="Calibri" w:hAnsi="Calibri" w:cs="Calibri"/>
                <w:sz w:val="22"/>
                <w:szCs w:val="22"/>
              </w:rPr>
            </w:pPr>
            <w:r>
              <w:rPr>
                <w:rFonts w:ascii="Calibri" w:hAnsi="Calibri" w:cs="Calibri"/>
                <w:sz w:val="22"/>
                <w:szCs w:val="22"/>
              </w:rPr>
              <w:t>2. Zarządzanie słownikami i konfiguracją</w:t>
            </w:r>
          </w:p>
          <w:p w14:paraId="54FDF196" w14:textId="77777777" w:rsidR="000F01F1" w:rsidRDefault="00507EF5">
            <w:pPr>
              <w:rPr>
                <w:rFonts w:ascii="Calibri" w:hAnsi="Calibri" w:cs="Calibri"/>
                <w:sz w:val="22"/>
                <w:szCs w:val="22"/>
              </w:rPr>
            </w:pPr>
            <w:r>
              <w:rPr>
                <w:rFonts w:ascii="Calibri" w:hAnsi="Calibri" w:cs="Calibri"/>
                <w:sz w:val="22"/>
                <w:szCs w:val="22"/>
              </w:rPr>
              <w:lastRenderedPageBreak/>
              <w:t>KPI 1.2 — Średni czas wprowadzenia aktualizacji słowników</w:t>
            </w:r>
          </w:p>
          <w:p w14:paraId="2D29E9BA" w14:textId="77777777" w:rsidR="000F01F1" w:rsidRDefault="00507EF5">
            <w:pPr>
              <w:rPr>
                <w:rFonts w:ascii="Calibri" w:hAnsi="Calibri" w:cs="Calibri"/>
                <w:sz w:val="22"/>
                <w:szCs w:val="22"/>
              </w:rPr>
            </w:pPr>
            <w:r>
              <w:rPr>
                <w:rFonts w:ascii="Calibri" w:hAnsi="Calibri" w:cs="Calibri"/>
                <w:sz w:val="22"/>
                <w:szCs w:val="22"/>
              </w:rPr>
              <w:t>Wartość obecna: 1 godzina (aktualizacje wykonywane ręcznie w każdej placówce)</w:t>
            </w:r>
          </w:p>
          <w:p w14:paraId="3BF83D11" w14:textId="77777777" w:rsidR="000F01F1" w:rsidRDefault="00507EF5">
            <w:pPr>
              <w:rPr>
                <w:rFonts w:ascii="Calibri" w:hAnsi="Calibri" w:cs="Calibri"/>
                <w:sz w:val="22"/>
                <w:szCs w:val="22"/>
              </w:rPr>
            </w:pPr>
            <w:r>
              <w:rPr>
                <w:rFonts w:ascii="Calibri" w:hAnsi="Calibri" w:cs="Calibri"/>
                <w:sz w:val="22"/>
                <w:szCs w:val="22"/>
              </w:rPr>
              <w:t>Wartość docelowa: 0 godzin (brak aktualizacji systemu na placówkach, system centralny)</w:t>
            </w:r>
          </w:p>
          <w:p w14:paraId="3D4B8D5E" w14:textId="77777777" w:rsidR="000F01F1" w:rsidRPr="003B75D4" w:rsidRDefault="00507EF5">
            <w:pPr>
              <w:rPr>
                <w:rFonts w:ascii="Calibri" w:hAnsi="Calibri" w:cs="Calibri"/>
                <w:sz w:val="22"/>
                <w:szCs w:val="22"/>
              </w:rPr>
            </w:pPr>
            <w:r w:rsidRPr="003B75D4">
              <w:rPr>
                <w:rFonts w:ascii="Calibri" w:hAnsi="Calibri" w:cs="Calibri"/>
                <w:sz w:val="22"/>
                <w:szCs w:val="22"/>
              </w:rPr>
              <w:t xml:space="preserve">Metoda: dokumentacja techniczna – architektura fizyczna </w:t>
            </w:r>
            <w:proofErr w:type="spellStart"/>
            <w:r w:rsidRPr="003B75D4">
              <w:rPr>
                <w:rFonts w:ascii="Calibri" w:hAnsi="Calibri" w:cs="Calibri"/>
                <w:sz w:val="22"/>
                <w:szCs w:val="22"/>
              </w:rPr>
              <w:t>ePUK</w:t>
            </w:r>
            <w:proofErr w:type="spellEnd"/>
            <w:r w:rsidRPr="003B75D4">
              <w:rPr>
                <w:rFonts w:ascii="Calibri" w:hAnsi="Calibri" w:cs="Calibri"/>
                <w:sz w:val="22"/>
                <w:szCs w:val="22"/>
              </w:rPr>
              <w:t xml:space="preserve"> (porównanie z architekturą systemu Wiza-Konsul)</w:t>
            </w:r>
          </w:p>
          <w:p w14:paraId="167B20F9" w14:textId="77777777" w:rsidR="000F01F1" w:rsidRPr="003B75D4" w:rsidRDefault="00507EF5">
            <w:pPr>
              <w:rPr>
                <w:rFonts w:ascii="Calibri" w:hAnsi="Calibri" w:cs="Calibri"/>
                <w:sz w:val="22"/>
                <w:szCs w:val="22"/>
              </w:rPr>
            </w:pPr>
            <w:r w:rsidRPr="003B75D4">
              <w:rPr>
                <w:rFonts w:ascii="Calibri" w:hAnsi="Calibri" w:cs="Calibri"/>
                <w:sz w:val="22"/>
                <w:szCs w:val="22"/>
              </w:rPr>
              <w:t>Źródło: Dokumentacja powykonawcza</w:t>
            </w:r>
          </w:p>
          <w:p w14:paraId="0CACB16C" w14:textId="77777777" w:rsidR="000F01F1" w:rsidRPr="003B75D4" w:rsidRDefault="00507EF5">
            <w:pPr>
              <w:rPr>
                <w:rFonts w:ascii="Calibri" w:hAnsi="Calibri" w:cs="Calibri"/>
                <w:sz w:val="22"/>
                <w:szCs w:val="22"/>
              </w:rPr>
            </w:pPr>
            <w:r w:rsidRPr="003B75D4">
              <w:rPr>
                <w:rFonts w:ascii="Calibri" w:hAnsi="Calibri" w:cs="Calibri"/>
                <w:sz w:val="22"/>
                <w:szCs w:val="22"/>
              </w:rPr>
              <w:t>Częstotliwość: jednorazowo na koniec realizacji projektu</w:t>
            </w:r>
          </w:p>
          <w:p w14:paraId="581F4237" w14:textId="77777777" w:rsidR="000F01F1" w:rsidRDefault="00507EF5">
            <w:pPr>
              <w:rPr>
                <w:rFonts w:ascii="Calibri" w:hAnsi="Calibri" w:cs="Calibri"/>
                <w:sz w:val="22"/>
                <w:szCs w:val="22"/>
              </w:rPr>
            </w:pPr>
            <w:r>
              <w:rPr>
                <w:rFonts w:ascii="Calibri" w:hAnsi="Calibri" w:cs="Calibri"/>
                <w:sz w:val="22"/>
                <w:szCs w:val="22"/>
              </w:rPr>
              <w:t>3. Zarządzania uprawnieniami użytkowników</w:t>
            </w:r>
          </w:p>
          <w:p w14:paraId="423C2AD9" w14:textId="77777777" w:rsidR="000F01F1" w:rsidRDefault="00507EF5">
            <w:pPr>
              <w:rPr>
                <w:rFonts w:ascii="Calibri" w:hAnsi="Calibri" w:cs="Calibri"/>
                <w:sz w:val="22"/>
                <w:szCs w:val="22"/>
              </w:rPr>
            </w:pPr>
            <w:r>
              <w:rPr>
                <w:rFonts w:ascii="Calibri" w:hAnsi="Calibri" w:cs="Calibri"/>
                <w:sz w:val="22"/>
                <w:szCs w:val="22"/>
              </w:rPr>
              <w:t>KPI 1.3 — Czas nadania lub zmiany uprawnień dla użytkownika</w:t>
            </w:r>
          </w:p>
          <w:p w14:paraId="19448BC5" w14:textId="77777777" w:rsidR="000F01F1" w:rsidRDefault="00507EF5">
            <w:pPr>
              <w:rPr>
                <w:rFonts w:ascii="Calibri" w:hAnsi="Calibri" w:cs="Calibri"/>
                <w:sz w:val="22"/>
                <w:szCs w:val="22"/>
              </w:rPr>
            </w:pPr>
            <w:r>
              <w:rPr>
                <w:rFonts w:ascii="Calibri" w:hAnsi="Calibri" w:cs="Calibri"/>
                <w:sz w:val="22"/>
                <w:szCs w:val="22"/>
              </w:rPr>
              <w:t>Wartość obecna: 1 godzina (zmiany/aktualizacje uprawnień wykonywane ręcznie w każdej placówce)</w:t>
            </w:r>
          </w:p>
          <w:p w14:paraId="75B2BC3C" w14:textId="77777777" w:rsidR="000F01F1" w:rsidRDefault="00507EF5">
            <w:pPr>
              <w:rPr>
                <w:rFonts w:ascii="Calibri" w:hAnsi="Calibri" w:cs="Calibri"/>
                <w:sz w:val="22"/>
                <w:szCs w:val="22"/>
              </w:rPr>
            </w:pPr>
            <w:r>
              <w:rPr>
                <w:rFonts w:ascii="Calibri" w:hAnsi="Calibri" w:cs="Calibri"/>
                <w:sz w:val="22"/>
                <w:szCs w:val="22"/>
              </w:rPr>
              <w:t>Wartość docelowa: 0 godzin (zmiany/aktualizacje uprawnień wykonywane centralnie)</w:t>
            </w:r>
          </w:p>
          <w:p w14:paraId="64EC486C" w14:textId="77777777" w:rsidR="000F01F1" w:rsidRPr="003B75D4" w:rsidRDefault="00507EF5">
            <w:pPr>
              <w:rPr>
                <w:rFonts w:ascii="Calibri" w:hAnsi="Calibri" w:cs="Calibri"/>
                <w:sz w:val="22"/>
                <w:szCs w:val="22"/>
              </w:rPr>
            </w:pPr>
            <w:r w:rsidRPr="003B75D4">
              <w:rPr>
                <w:rFonts w:ascii="Calibri" w:hAnsi="Calibri" w:cs="Calibri"/>
                <w:sz w:val="22"/>
                <w:szCs w:val="22"/>
              </w:rPr>
              <w:t xml:space="preserve">Metoda: dokumentacja techniczna – architektura fizyczna </w:t>
            </w:r>
            <w:proofErr w:type="spellStart"/>
            <w:r w:rsidRPr="003B75D4">
              <w:rPr>
                <w:rFonts w:ascii="Calibri" w:hAnsi="Calibri" w:cs="Calibri"/>
                <w:sz w:val="22"/>
                <w:szCs w:val="22"/>
              </w:rPr>
              <w:t>ePUK</w:t>
            </w:r>
            <w:proofErr w:type="spellEnd"/>
            <w:r w:rsidRPr="003B75D4">
              <w:rPr>
                <w:rFonts w:ascii="Calibri" w:hAnsi="Calibri" w:cs="Calibri"/>
                <w:sz w:val="22"/>
                <w:szCs w:val="22"/>
              </w:rPr>
              <w:t xml:space="preserve"> (porównanie z architekturą systemu Wiza-Konsul)</w:t>
            </w:r>
          </w:p>
          <w:p w14:paraId="57A35689" w14:textId="77777777" w:rsidR="000F01F1" w:rsidRPr="003B75D4" w:rsidRDefault="00507EF5">
            <w:pPr>
              <w:rPr>
                <w:rFonts w:ascii="Calibri" w:hAnsi="Calibri" w:cs="Calibri"/>
                <w:sz w:val="22"/>
                <w:szCs w:val="22"/>
              </w:rPr>
            </w:pPr>
            <w:r w:rsidRPr="003B75D4">
              <w:rPr>
                <w:rFonts w:ascii="Calibri" w:hAnsi="Calibri" w:cs="Calibri"/>
                <w:sz w:val="22"/>
                <w:szCs w:val="22"/>
              </w:rPr>
              <w:lastRenderedPageBreak/>
              <w:t>Źródło: Dokumentacja powykonawcza</w:t>
            </w:r>
          </w:p>
          <w:p w14:paraId="303BB6EA" w14:textId="77777777" w:rsidR="000F01F1" w:rsidRPr="003B75D4" w:rsidRDefault="00507EF5">
            <w:pPr>
              <w:rPr>
                <w:rFonts w:ascii="Calibri" w:hAnsi="Calibri" w:cs="Calibri"/>
                <w:sz w:val="22"/>
                <w:szCs w:val="22"/>
              </w:rPr>
            </w:pPr>
            <w:r w:rsidRPr="003B75D4">
              <w:rPr>
                <w:rFonts w:ascii="Calibri" w:hAnsi="Calibri" w:cs="Calibri"/>
                <w:sz w:val="22"/>
                <w:szCs w:val="22"/>
              </w:rPr>
              <w:t>Częstotliwość: jednorazowo na koniec realizacji projektu</w:t>
            </w:r>
          </w:p>
          <w:p w14:paraId="7DE4ED1F" w14:textId="77777777" w:rsidR="000F01F1" w:rsidRDefault="00507EF5">
            <w:pPr>
              <w:rPr>
                <w:rFonts w:ascii="Calibri" w:hAnsi="Calibri" w:cs="Calibri"/>
                <w:sz w:val="22"/>
                <w:szCs w:val="22"/>
              </w:rPr>
            </w:pPr>
            <w:r>
              <w:rPr>
                <w:rFonts w:ascii="Calibri" w:hAnsi="Calibri" w:cs="Calibri"/>
                <w:sz w:val="22"/>
                <w:szCs w:val="22"/>
              </w:rPr>
              <w:t>4. Analizy i raportowanie</w:t>
            </w:r>
          </w:p>
          <w:p w14:paraId="5269AE5B" w14:textId="77777777" w:rsidR="000F01F1" w:rsidRDefault="00507EF5">
            <w:pPr>
              <w:rPr>
                <w:rFonts w:ascii="Calibri" w:hAnsi="Calibri" w:cs="Calibri"/>
                <w:sz w:val="22"/>
                <w:szCs w:val="22"/>
              </w:rPr>
            </w:pPr>
            <w:r>
              <w:rPr>
                <w:rFonts w:ascii="Calibri" w:hAnsi="Calibri" w:cs="Calibri"/>
                <w:sz w:val="22"/>
                <w:szCs w:val="22"/>
              </w:rPr>
              <w:t>KPI 1.4 — Czas generowania raportu standardowego</w:t>
            </w:r>
          </w:p>
          <w:p w14:paraId="3B52A8B5" w14:textId="77777777" w:rsidR="000F01F1" w:rsidRDefault="00507EF5">
            <w:pPr>
              <w:rPr>
                <w:rFonts w:ascii="Calibri" w:hAnsi="Calibri" w:cs="Calibri"/>
                <w:sz w:val="22"/>
                <w:szCs w:val="22"/>
              </w:rPr>
            </w:pPr>
            <w:r>
              <w:rPr>
                <w:rFonts w:ascii="Calibri" w:hAnsi="Calibri" w:cs="Calibri"/>
                <w:sz w:val="22"/>
                <w:szCs w:val="22"/>
              </w:rPr>
              <w:t>Wartość obecna: 8 godzin/raport (zebranie, weryfikacja, zestawienie, sporządzenie raportu)</w:t>
            </w:r>
          </w:p>
          <w:p w14:paraId="6D1F04D0" w14:textId="77777777" w:rsidR="000F01F1" w:rsidRDefault="00507EF5">
            <w:pPr>
              <w:rPr>
                <w:rFonts w:ascii="Calibri" w:hAnsi="Calibri" w:cs="Calibri"/>
                <w:sz w:val="22"/>
                <w:szCs w:val="22"/>
              </w:rPr>
            </w:pPr>
            <w:r>
              <w:rPr>
                <w:rFonts w:ascii="Calibri" w:hAnsi="Calibri" w:cs="Calibri"/>
                <w:sz w:val="22"/>
                <w:szCs w:val="22"/>
              </w:rPr>
              <w:t>Wartość docelowa: 0 godzin (generowanie automatyczne wg szablonów z BI)</w:t>
            </w:r>
          </w:p>
          <w:p w14:paraId="5A089054" w14:textId="77777777" w:rsidR="000F01F1" w:rsidRPr="003B75D4" w:rsidRDefault="00507EF5">
            <w:pPr>
              <w:rPr>
                <w:rFonts w:ascii="Calibri" w:hAnsi="Calibri" w:cs="Calibri"/>
                <w:sz w:val="22"/>
                <w:szCs w:val="22"/>
              </w:rPr>
            </w:pPr>
            <w:r w:rsidRPr="003B75D4">
              <w:rPr>
                <w:rFonts w:ascii="Calibri" w:hAnsi="Calibri" w:cs="Calibri"/>
                <w:sz w:val="22"/>
                <w:szCs w:val="22"/>
              </w:rPr>
              <w:t xml:space="preserve">Metoda: protokół odbioru wdrożenia </w:t>
            </w:r>
            <w:proofErr w:type="spellStart"/>
            <w:r w:rsidRPr="003B75D4">
              <w:rPr>
                <w:rFonts w:ascii="Calibri" w:hAnsi="Calibri" w:cs="Calibri"/>
                <w:sz w:val="22"/>
                <w:szCs w:val="22"/>
              </w:rPr>
              <w:t>ePUK</w:t>
            </w:r>
            <w:proofErr w:type="spellEnd"/>
          </w:p>
          <w:p w14:paraId="1595CE98" w14:textId="77777777" w:rsidR="000F01F1" w:rsidRPr="003B75D4" w:rsidRDefault="00507EF5">
            <w:pPr>
              <w:rPr>
                <w:rFonts w:ascii="Calibri" w:hAnsi="Calibri" w:cs="Calibri"/>
                <w:sz w:val="22"/>
                <w:szCs w:val="22"/>
              </w:rPr>
            </w:pPr>
            <w:r w:rsidRPr="003B75D4">
              <w:rPr>
                <w:rFonts w:ascii="Calibri" w:hAnsi="Calibri" w:cs="Calibri"/>
                <w:sz w:val="22"/>
                <w:szCs w:val="22"/>
              </w:rPr>
              <w:t>Źródło: na etapie przygotowania do realizacji projektu została przeprowadzona analiza z przedstawicielami użytkowników końcowych systemów konsularnych, na podstawie której oszacowano czas wymagany do opracowania raportu standardowego. Biorąc pod uwagę zakres wdrażanych funkcjonalności czynność ta zostanie zautomatyzowana co spowoduje skrócenie czasu do 0 godzin</w:t>
            </w:r>
          </w:p>
          <w:p w14:paraId="2F235C29" w14:textId="77777777" w:rsidR="000F01F1" w:rsidRPr="003B75D4" w:rsidRDefault="00507EF5">
            <w:pPr>
              <w:rPr>
                <w:rFonts w:ascii="Calibri" w:hAnsi="Calibri" w:cs="Calibri"/>
                <w:sz w:val="22"/>
                <w:szCs w:val="22"/>
              </w:rPr>
            </w:pPr>
            <w:r w:rsidRPr="003B75D4">
              <w:rPr>
                <w:rFonts w:ascii="Calibri" w:hAnsi="Calibri" w:cs="Calibri"/>
                <w:sz w:val="22"/>
                <w:szCs w:val="22"/>
              </w:rPr>
              <w:t>Częstotliwość: jednorazowo po 12 miesiącach od zakończenia realizacji projektu</w:t>
            </w:r>
          </w:p>
          <w:p w14:paraId="7A935A8C" w14:textId="77777777" w:rsidR="000F01F1" w:rsidRDefault="00507EF5">
            <w:pPr>
              <w:rPr>
                <w:rFonts w:ascii="Calibri" w:hAnsi="Calibri" w:cs="Calibri"/>
                <w:sz w:val="22"/>
                <w:szCs w:val="22"/>
              </w:rPr>
            </w:pPr>
            <w:r>
              <w:rPr>
                <w:rFonts w:ascii="Calibri" w:hAnsi="Calibri" w:cs="Calibri"/>
                <w:sz w:val="22"/>
                <w:szCs w:val="22"/>
              </w:rPr>
              <w:t>5. Monitorowanie bezpieczeństwa i logów</w:t>
            </w:r>
          </w:p>
          <w:p w14:paraId="02059BE8" w14:textId="77777777" w:rsidR="000F01F1" w:rsidRDefault="00507EF5">
            <w:pPr>
              <w:rPr>
                <w:rFonts w:ascii="Calibri" w:hAnsi="Calibri" w:cs="Calibri"/>
                <w:sz w:val="22"/>
                <w:szCs w:val="22"/>
              </w:rPr>
            </w:pPr>
            <w:r>
              <w:rPr>
                <w:rFonts w:ascii="Calibri" w:hAnsi="Calibri" w:cs="Calibri"/>
                <w:sz w:val="22"/>
                <w:szCs w:val="22"/>
              </w:rPr>
              <w:lastRenderedPageBreak/>
              <w:t>KPI 1.5 — Liczba zdarzeń bezpieczeństwa monitorowanych automatycznie</w:t>
            </w:r>
          </w:p>
          <w:p w14:paraId="2C3ACE40" w14:textId="77777777" w:rsidR="000F01F1" w:rsidRDefault="00507EF5">
            <w:r>
              <w:rPr>
                <w:rFonts w:ascii="Calibri" w:hAnsi="Calibri" w:cs="Calibri"/>
                <w:sz w:val="22"/>
                <w:szCs w:val="22"/>
              </w:rPr>
              <w:t>Wartość obecna: 0% (obecnie brak narzędzi do automatycznego zbierania i monitorowania zdarzeń kompleksowo dla wszystkich komponentów systemu)</w:t>
            </w:r>
          </w:p>
          <w:p w14:paraId="67074537" w14:textId="77777777" w:rsidR="000F01F1" w:rsidRDefault="00507EF5">
            <w:pPr>
              <w:rPr>
                <w:rFonts w:ascii="Calibri" w:hAnsi="Calibri" w:cs="Calibri"/>
                <w:sz w:val="22"/>
                <w:szCs w:val="22"/>
              </w:rPr>
            </w:pPr>
            <w:r>
              <w:rPr>
                <w:rFonts w:ascii="Calibri" w:hAnsi="Calibri" w:cs="Calibri"/>
                <w:sz w:val="22"/>
                <w:szCs w:val="22"/>
              </w:rPr>
              <w:t>Wartość docelowa: ≥95%</w:t>
            </w:r>
          </w:p>
          <w:p w14:paraId="1CF74944" w14:textId="77777777" w:rsidR="000F01F1" w:rsidRPr="003B75D4" w:rsidRDefault="00507EF5">
            <w:pPr>
              <w:rPr>
                <w:rFonts w:ascii="Calibri" w:hAnsi="Calibri" w:cs="Calibri"/>
                <w:sz w:val="22"/>
                <w:szCs w:val="22"/>
              </w:rPr>
            </w:pPr>
            <w:r w:rsidRPr="003B75D4">
              <w:rPr>
                <w:rFonts w:ascii="Calibri" w:hAnsi="Calibri" w:cs="Calibri"/>
                <w:sz w:val="22"/>
                <w:szCs w:val="22"/>
              </w:rPr>
              <w:t xml:space="preserve">Metoda: protokół odbioru wdrożenia </w:t>
            </w:r>
            <w:proofErr w:type="spellStart"/>
            <w:r w:rsidRPr="003B75D4">
              <w:rPr>
                <w:rFonts w:ascii="Calibri" w:hAnsi="Calibri" w:cs="Calibri"/>
                <w:sz w:val="22"/>
                <w:szCs w:val="22"/>
              </w:rPr>
              <w:t>ePUK</w:t>
            </w:r>
            <w:proofErr w:type="spellEnd"/>
            <w:r w:rsidRPr="003B75D4">
              <w:rPr>
                <w:rFonts w:ascii="Calibri" w:hAnsi="Calibri" w:cs="Calibri"/>
                <w:sz w:val="22"/>
                <w:szCs w:val="22"/>
              </w:rPr>
              <w:t xml:space="preserve"> (w tym wdrożenia SIEM)</w:t>
            </w:r>
          </w:p>
          <w:p w14:paraId="55C279F6" w14:textId="77777777" w:rsidR="000F01F1" w:rsidRPr="003B75D4" w:rsidRDefault="00507EF5">
            <w:pPr>
              <w:rPr>
                <w:rFonts w:ascii="Calibri" w:hAnsi="Calibri" w:cs="Calibri"/>
                <w:sz w:val="22"/>
                <w:szCs w:val="22"/>
              </w:rPr>
            </w:pPr>
            <w:r w:rsidRPr="003B75D4">
              <w:rPr>
                <w:rFonts w:ascii="Calibri" w:hAnsi="Calibri" w:cs="Calibri"/>
                <w:sz w:val="22"/>
                <w:szCs w:val="22"/>
              </w:rPr>
              <w:t>Źródło: Dokumentacja powykonawcza</w:t>
            </w:r>
          </w:p>
          <w:p w14:paraId="55121D26" w14:textId="77777777" w:rsidR="003B75D4" w:rsidRDefault="00507EF5">
            <w:pPr>
              <w:rPr>
                <w:rFonts w:ascii="Calibri" w:hAnsi="Calibri" w:cs="Calibri"/>
                <w:sz w:val="22"/>
                <w:szCs w:val="22"/>
              </w:rPr>
            </w:pPr>
            <w:r w:rsidRPr="003B75D4">
              <w:rPr>
                <w:rFonts w:ascii="Calibri" w:hAnsi="Calibri" w:cs="Calibri"/>
                <w:sz w:val="22"/>
                <w:szCs w:val="22"/>
              </w:rPr>
              <w:t>Częstotliwość: jednorazowo na koniec realizacji projektu</w:t>
            </w:r>
          </w:p>
          <w:p w14:paraId="39624617" w14:textId="77777777" w:rsidR="007004A3" w:rsidRDefault="007004A3">
            <w:pPr>
              <w:rPr>
                <w:rFonts w:ascii="Calibri" w:hAnsi="Calibri" w:cs="Calibri"/>
                <w:sz w:val="22"/>
                <w:szCs w:val="22"/>
              </w:rPr>
            </w:pPr>
          </w:p>
          <w:p w14:paraId="20CDBE6A" w14:textId="209EB737" w:rsidR="007004A3" w:rsidRPr="003B75D4" w:rsidRDefault="007004A3">
            <w:pPr>
              <w:rPr>
                <w:rFonts w:ascii="Calibri" w:hAnsi="Calibri" w:cs="Calibri"/>
                <w:sz w:val="22"/>
                <w:szCs w:val="22"/>
              </w:rPr>
            </w:pPr>
            <w:r w:rsidRPr="003B44A3">
              <w:rPr>
                <w:rFonts w:ascii="Calibri" w:hAnsi="Calibri" w:cs="Calibri"/>
                <w:sz w:val="22"/>
                <w:szCs w:val="22"/>
                <w:highlight w:val="yellow"/>
              </w:rPr>
              <w:t>Dokonano zmian w pkt 2.1 opisu założeń  – dodano powyższe wskaźniki efektywności dla celu nr 3.</w:t>
            </w:r>
          </w:p>
        </w:tc>
      </w:tr>
      <w:tr w:rsidR="000F01F1" w14:paraId="18410355" w14:textId="77777777">
        <w:tc>
          <w:tcPr>
            <w:tcW w:w="561" w:type="dxa"/>
            <w:tcBorders>
              <w:top w:val="single" w:sz="4" w:space="0" w:color="000000"/>
              <w:left w:val="single" w:sz="4" w:space="0" w:color="000000"/>
              <w:bottom w:val="single" w:sz="4" w:space="0" w:color="000000"/>
              <w:right w:val="single" w:sz="4" w:space="0" w:color="000000"/>
            </w:tcBorders>
          </w:tcPr>
          <w:p w14:paraId="20D566EC" w14:textId="77777777" w:rsidR="000F01F1" w:rsidRDefault="000F01F1">
            <w:pPr>
              <w:numPr>
                <w:ilvl w:val="0"/>
                <w:numId w:val="1"/>
              </w:numPr>
              <w:spacing w:after="0" w:line="240" w:lineRule="auto"/>
              <w:ind w:left="113" w:firstLine="0"/>
              <w:jc w:val="center"/>
              <w:rPr>
                <w:rFonts w:ascii="Calibri" w:hAnsi="Calibri" w:cs="Calibri"/>
                <w:b/>
                <w:sz w:val="22"/>
                <w:szCs w:val="22"/>
              </w:rPr>
            </w:pPr>
          </w:p>
        </w:tc>
        <w:tc>
          <w:tcPr>
            <w:tcW w:w="1133" w:type="dxa"/>
            <w:tcBorders>
              <w:top w:val="single" w:sz="4" w:space="0" w:color="000000"/>
              <w:left w:val="single" w:sz="4" w:space="0" w:color="000000"/>
              <w:bottom w:val="single" w:sz="4" w:space="0" w:color="000000"/>
              <w:right w:val="single" w:sz="4" w:space="0" w:color="000000"/>
            </w:tcBorders>
          </w:tcPr>
          <w:p w14:paraId="35DA21E9" w14:textId="77777777" w:rsidR="000F01F1" w:rsidRDefault="00507EF5">
            <w:pPr>
              <w:jc w:val="center"/>
              <w:rPr>
                <w:rFonts w:ascii="Calibri" w:hAnsi="Calibri" w:cs="Calibri"/>
                <w:b/>
                <w:sz w:val="22"/>
                <w:szCs w:val="22"/>
              </w:rPr>
            </w:pPr>
            <w:r>
              <w:rPr>
                <w:rFonts w:ascii="Calibri" w:hAnsi="Calibri" w:cs="Calibri"/>
                <w:b/>
                <w:sz w:val="22"/>
                <w:szCs w:val="22"/>
              </w:rPr>
              <w:t>RA IT</w:t>
            </w:r>
          </w:p>
        </w:tc>
        <w:tc>
          <w:tcPr>
            <w:tcW w:w="1845" w:type="dxa"/>
            <w:tcBorders>
              <w:top w:val="single" w:sz="4" w:space="0" w:color="000000"/>
              <w:left w:val="single" w:sz="4" w:space="0" w:color="000000"/>
              <w:bottom w:val="single" w:sz="4" w:space="0" w:color="000000"/>
              <w:right w:val="single" w:sz="4" w:space="0" w:color="000000"/>
            </w:tcBorders>
          </w:tcPr>
          <w:p w14:paraId="0C53A7A3" w14:textId="77777777" w:rsidR="000F01F1" w:rsidRDefault="00507EF5">
            <w:pPr>
              <w:jc w:val="center"/>
              <w:rPr>
                <w:rFonts w:ascii="Calibri" w:hAnsi="Calibri" w:cs="Calibri"/>
                <w:bCs/>
                <w:sz w:val="22"/>
                <w:szCs w:val="22"/>
              </w:rPr>
            </w:pPr>
            <w:r>
              <w:rPr>
                <w:rFonts w:ascii="Calibri" w:hAnsi="Calibri" w:cs="Calibri"/>
                <w:bCs/>
                <w:sz w:val="22"/>
                <w:szCs w:val="22"/>
              </w:rPr>
              <w:t>2.1. Cele i korzyści wynikające z projektu</w:t>
            </w:r>
          </w:p>
        </w:tc>
        <w:tc>
          <w:tcPr>
            <w:tcW w:w="5407" w:type="dxa"/>
            <w:tcBorders>
              <w:top w:val="single" w:sz="4" w:space="0" w:color="000000"/>
              <w:left w:val="single" w:sz="4" w:space="0" w:color="000000"/>
              <w:bottom w:val="single" w:sz="4" w:space="0" w:color="000000"/>
              <w:right w:val="single" w:sz="4" w:space="0" w:color="000000"/>
            </w:tcBorders>
          </w:tcPr>
          <w:p w14:paraId="0052D057" w14:textId="77777777" w:rsidR="000F01F1" w:rsidRDefault="00507EF5">
            <w:pPr>
              <w:rPr>
                <w:rFonts w:ascii="Calibri" w:hAnsi="Calibri" w:cs="Calibri"/>
                <w:iCs/>
                <w:sz w:val="22"/>
                <w:szCs w:val="22"/>
              </w:rPr>
            </w:pPr>
            <w:r>
              <w:rPr>
                <w:rFonts w:ascii="Calibri" w:hAnsi="Calibri" w:cs="Calibri"/>
                <w:iCs/>
                <w:sz w:val="22"/>
                <w:szCs w:val="22"/>
              </w:rPr>
              <w:t>Cel 4, Udostępnienie wybranych danych dostępnych w trybie informacji publicznej za pośrednictwem systemu „</w:t>
            </w:r>
            <w:proofErr w:type="spellStart"/>
            <w:r>
              <w:rPr>
                <w:rFonts w:ascii="Calibri" w:hAnsi="Calibri" w:cs="Calibri"/>
                <w:iCs/>
                <w:sz w:val="22"/>
                <w:szCs w:val="22"/>
              </w:rPr>
              <w:t>OpenData</w:t>
            </w:r>
            <w:proofErr w:type="spellEnd"/>
            <w:r>
              <w:rPr>
                <w:rFonts w:ascii="Calibri" w:hAnsi="Calibri" w:cs="Calibri"/>
                <w:iCs/>
                <w:sz w:val="22"/>
                <w:szCs w:val="22"/>
              </w:rPr>
              <w:t>”.</w:t>
            </w:r>
          </w:p>
          <w:p w14:paraId="040F4EF5" w14:textId="77777777" w:rsidR="000F01F1" w:rsidRDefault="00507EF5">
            <w:pPr>
              <w:rPr>
                <w:rFonts w:ascii="Calibri" w:hAnsi="Calibri" w:cs="Calibri"/>
                <w:iCs/>
                <w:sz w:val="22"/>
                <w:szCs w:val="22"/>
              </w:rPr>
            </w:pPr>
            <w:r>
              <w:rPr>
                <w:rFonts w:ascii="Calibri" w:hAnsi="Calibri" w:cs="Calibri"/>
                <w:iCs/>
                <w:sz w:val="22"/>
                <w:szCs w:val="22"/>
              </w:rPr>
              <w:t>KPI 1 – liczba rozwiązań typu „</w:t>
            </w:r>
            <w:proofErr w:type="spellStart"/>
            <w:r>
              <w:rPr>
                <w:rFonts w:ascii="Calibri" w:hAnsi="Calibri" w:cs="Calibri"/>
                <w:iCs/>
                <w:sz w:val="22"/>
                <w:szCs w:val="22"/>
              </w:rPr>
              <w:t>OpenData</w:t>
            </w:r>
            <w:proofErr w:type="spellEnd"/>
            <w:r>
              <w:rPr>
                <w:rFonts w:ascii="Calibri" w:hAnsi="Calibri" w:cs="Calibri"/>
                <w:iCs/>
                <w:sz w:val="22"/>
                <w:szCs w:val="22"/>
              </w:rPr>
              <w:t xml:space="preserve">” mierzona protokołem odbioru wdrożenia </w:t>
            </w:r>
            <w:proofErr w:type="spellStart"/>
            <w:r>
              <w:rPr>
                <w:rFonts w:ascii="Calibri" w:hAnsi="Calibri" w:cs="Calibri"/>
                <w:iCs/>
                <w:sz w:val="22"/>
                <w:szCs w:val="22"/>
              </w:rPr>
              <w:t>ePUK</w:t>
            </w:r>
            <w:proofErr w:type="spellEnd"/>
            <w:r>
              <w:rPr>
                <w:rFonts w:ascii="Calibri" w:hAnsi="Calibri" w:cs="Calibri"/>
                <w:iCs/>
                <w:sz w:val="22"/>
                <w:szCs w:val="22"/>
              </w:rPr>
              <w:t>.</w:t>
            </w:r>
          </w:p>
          <w:p w14:paraId="5A54CD11" w14:textId="77777777" w:rsidR="000F01F1" w:rsidRDefault="00507EF5">
            <w:pPr>
              <w:rPr>
                <w:rFonts w:ascii="Calibri" w:hAnsi="Calibri" w:cs="Calibri"/>
                <w:iCs/>
                <w:sz w:val="22"/>
                <w:szCs w:val="22"/>
              </w:rPr>
            </w:pPr>
            <w:r>
              <w:rPr>
                <w:rFonts w:ascii="Calibri" w:hAnsi="Calibri" w:cs="Calibri"/>
                <w:iCs/>
                <w:sz w:val="22"/>
                <w:szCs w:val="22"/>
              </w:rPr>
              <w:t xml:space="preserve">Proszę o doprecyzowanie jakie dane będą udostępniane. Dodatkowo proszę o rozważenie wskazania jako metody </w:t>
            </w:r>
            <w:r>
              <w:rPr>
                <w:rFonts w:ascii="Calibri" w:hAnsi="Calibri" w:cs="Calibri"/>
                <w:iCs/>
                <w:sz w:val="22"/>
                <w:szCs w:val="22"/>
              </w:rPr>
              <w:lastRenderedPageBreak/>
              <w:t>pomiaru KPI: ilość udostępnionych raportów potwierdzonych protokołem z realizacji powyższego.</w:t>
            </w:r>
          </w:p>
        </w:tc>
        <w:tc>
          <w:tcPr>
            <w:tcW w:w="1752" w:type="dxa"/>
            <w:tcBorders>
              <w:top w:val="single" w:sz="4" w:space="0" w:color="000000"/>
              <w:left w:val="single" w:sz="4" w:space="0" w:color="000000"/>
              <w:bottom w:val="single" w:sz="4" w:space="0" w:color="000000"/>
              <w:right w:val="single" w:sz="4" w:space="0" w:color="000000"/>
            </w:tcBorders>
          </w:tcPr>
          <w:p w14:paraId="024BF901" w14:textId="77777777" w:rsidR="000F01F1" w:rsidRDefault="00507EF5">
            <w:pPr>
              <w:jc w:val="center"/>
              <w:rPr>
                <w:rFonts w:ascii="Calibri" w:hAnsi="Calibri" w:cs="Calibri"/>
                <w:sz w:val="22"/>
                <w:szCs w:val="22"/>
              </w:rPr>
            </w:pPr>
            <w:r>
              <w:rPr>
                <w:rFonts w:ascii="Calibri" w:hAnsi="Calibri" w:cs="Calibri"/>
                <w:sz w:val="22"/>
                <w:szCs w:val="22"/>
              </w:rPr>
              <w:lastRenderedPageBreak/>
              <w:t>Proszę o analizę i korektę opisu założeń</w:t>
            </w:r>
          </w:p>
        </w:tc>
        <w:tc>
          <w:tcPr>
            <w:tcW w:w="4861" w:type="dxa"/>
            <w:tcBorders>
              <w:top w:val="single" w:sz="4" w:space="0" w:color="000000"/>
              <w:left w:val="single" w:sz="4" w:space="0" w:color="000000"/>
              <w:bottom w:val="single" w:sz="4" w:space="0" w:color="000000"/>
              <w:right w:val="single" w:sz="4" w:space="0" w:color="000000"/>
            </w:tcBorders>
          </w:tcPr>
          <w:p w14:paraId="435E7418" w14:textId="74B49E34" w:rsidR="000F01F1" w:rsidRDefault="003B75D4" w:rsidP="00757C8B">
            <w:pPr>
              <w:rPr>
                <w:rFonts w:ascii="Calibri" w:hAnsi="Calibri" w:cs="Calibri"/>
                <w:sz w:val="22"/>
                <w:szCs w:val="22"/>
              </w:rPr>
            </w:pPr>
            <w:r>
              <w:rPr>
                <w:rFonts w:ascii="Calibri" w:hAnsi="Calibri" w:cs="Calibri"/>
                <w:sz w:val="22"/>
                <w:szCs w:val="22"/>
              </w:rPr>
              <w:t xml:space="preserve">Przewiduje się udostępnienie </w:t>
            </w:r>
            <w:r w:rsidR="00757C8B">
              <w:rPr>
                <w:rFonts w:ascii="Calibri" w:hAnsi="Calibri" w:cs="Calibri"/>
                <w:sz w:val="22"/>
                <w:szCs w:val="22"/>
              </w:rPr>
              <w:t xml:space="preserve">zbiorczych </w:t>
            </w:r>
            <w:r>
              <w:rPr>
                <w:rFonts w:ascii="Calibri" w:hAnsi="Calibri" w:cs="Calibri"/>
                <w:sz w:val="22"/>
                <w:szCs w:val="22"/>
              </w:rPr>
              <w:t>danych statystycznych z zakresu wykonywania funkcji konsularnych, w tym podniesienie poziomu otwartości danych udostępnianych obecnie na portalu dane.gov.pl</w:t>
            </w:r>
            <w:r w:rsidR="00757C8B">
              <w:rPr>
                <w:rFonts w:ascii="Calibri" w:hAnsi="Calibri" w:cs="Calibri"/>
                <w:sz w:val="22"/>
                <w:szCs w:val="22"/>
              </w:rPr>
              <w:t>, w szczególności w obszarze wizowym. Sprawy wizowe tradycyjnie stanowią obszar największego zainteresowania dostępem w trybie informacji publicznej, prasy, celów badawczych itp.</w:t>
            </w:r>
          </w:p>
          <w:p w14:paraId="03CE312B" w14:textId="7FA52D41" w:rsidR="00757C8B" w:rsidRDefault="00757C8B" w:rsidP="00757C8B">
            <w:pPr>
              <w:rPr>
                <w:rFonts w:ascii="Calibri" w:hAnsi="Calibri" w:cs="Calibri"/>
                <w:sz w:val="22"/>
                <w:szCs w:val="22"/>
              </w:rPr>
            </w:pPr>
            <w:r>
              <w:rPr>
                <w:rFonts w:ascii="Calibri" w:hAnsi="Calibri" w:cs="Calibri"/>
                <w:sz w:val="22"/>
                <w:szCs w:val="22"/>
              </w:rPr>
              <w:lastRenderedPageBreak/>
              <w:t xml:space="preserve">Liczba udostępnionych raportów zostanie określona na etapie przygotowania opisu przedmiotu zamówienia, jednak zakładamy że rozwiązania w tym obszarze nie będą miały formy dedykowanych, sztywnych raportów, ale </w:t>
            </w:r>
            <w:r w:rsidR="00750EBE">
              <w:rPr>
                <w:rFonts w:ascii="Calibri" w:hAnsi="Calibri" w:cs="Calibri"/>
                <w:sz w:val="22"/>
                <w:szCs w:val="22"/>
              </w:rPr>
              <w:t>elastycznych, łatwych do sformułowania przez użytkownika końcowego zapytań umożliwiających wielowymiarową analizę danych, również przy wsparciu AI.</w:t>
            </w:r>
          </w:p>
        </w:tc>
      </w:tr>
      <w:tr w:rsidR="000F01F1" w14:paraId="10527385" w14:textId="77777777">
        <w:tc>
          <w:tcPr>
            <w:tcW w:w="561" w:type="dxa"/>
            <w:tcBorders>
              <w:top w:val="single" w:sz="4" w:space="0" w:color="000000"/>
              <w:left w:val="single" w:sz="4" w:space="0" w:color="000000"/>
              <w:bottom w:val="single" w:sz="4" w:space="0" w:color="000000"/>
              <w:right w:val="single" w:sz="4" w:space="0" w:color="000000"/>
            </w:tcBorders>
          </w:tcPr>
          <w:p w14:paraId="11299D03" w14:textId="77777777" w:rsidR="000F01F1" w:rsidRDefault="000F01F1">
            <w:pPr>
              <w:numPr>
                <w:ilvl w:val="0"/>
                <w:numId w:val="1"/>
              </w:numPr>
              <w:spacing w:after="0" w:line="240" w:lineRule="auto"/>
              <w:ind w:left="113" w:firstLine="0"/>
              <w:jc w:val="center"/>
              <w:rPr>
                <w:rFonts w:ascii="Calibri" w:hAnsi="Calibri" w:cs="Calibri"/>
                <w:b/>
                <w:sz w:val="22"/>
                <w:szCs w:val="22"/>
              </w:rPr>
            </w:pPr>
          </w:p>
        </w:tc>
        <w:tc>
          <w:tcPr>
            <w:tcW w:w="1133" w:type="dxa"/>
            <w:tcBorders>
              <w:top w:val="single" w:sz="4" w:space="0" w:color="000000"/>
              <w:left w:val="single" w:sz="4" w:space="0" w:color="000000"/>
              <w:bottom w:val="single" w:sz="4" w:space="0" w:color="000000"/>
              <w:right w:val="single" w:sz="4" w:space="0" w:color="000000"/>
            </w:tcBorders>
          </w:tcPr>
          <w:p w14:paraId="04793A5C" w14:textId="77777777" w:rsidR="000F01F1" w:rsidRDefault="00507EF5">
            <w:pPr>
              <w:jc w:val="center"/>
              <w:rPr>
                <w:rFonts w:ascii="Calibri" w:hAnsi="Calibri" w:cs="Calibri"/>
                <w:b/>
                <w:sz w:val="22"/>
                <w:szCs w:val="22"/>
              </w:rPr>
            </w:pPr>
            <w:r>
              <w:rPr>
                <w:rFonts w:ascii="Calibri" w:hAnsi="Calibri" w:cs="Calibri"/>
                <w:b/>
                <w:sz w:val="22"/>
                <w:szCs w:val="22"/>
              </w:rPr>
              <w:t>RA IT</w:t>
            </w:r>
          </w:p>
        </w:tc>
        <w:tc>
          <w:tcPr>
            <w:tcW w:w="1845" w:type="dxa"/>
            <w:tcBorders>
              <w:top w:val="single" w:sz="4" w:space="0" w:color="000000"/>
              <w:left w:val="single" w:sz="4" w:space="0" w:color="000000"/>
              <w:bottom w:val="single" w:sz="4" w:space="0" w:color="000000"/>
              <w:right w:val="single" w:sz="4" w:space="0" w:color="000000"/>
            </w:tcBorders>
          </w:tcPr>
          <w:p w14:paraId="39C08CBA" w14:textId="77777777" w:rsidR="000F01F1" w:rsidRDefault="00507EF5">
            <w:pPr>
              <w:jc w:val="center"/>
              <w:rPr>
                <w:rFonts w:ascii="Calibri" w:hAnsi="Calibri" w:cs="Calibri"/>
                <w:bCs/>
                <w:sz w:val="22"/>
                <w:szCs w:val="22"/>
              </w:rPr>
            </w:pPr>
            <w:r>
              <w:rPr>
                <w:rFonts w:ascii="Calibri" w:hAnsi="Calibri" w:cs="Calibri"/>
                <w:bCs/>
                <w:sz w:val="22"/>
                <w:szCs w:val="22"/>
              </w:rPr>
              <w:t>2.2 Udostępnione e-usługi</w:t>
            </w:r>
          </w:p>
        </w:tc>
        <w:tc>
          <w:tcPr>
            <w:tcW w:w="5407" w:type="dxa"/>
            <w:tcBorders>
              <w:top w:val="single" w:sz="4" w:space="0" w:color="000000"/>
              <w:left w:val="single" w:sz="4" w:space="0" w:color="000000"/>
              <w:bottom w:val="single" w:sz="4" w:space="0" w:color="000000"/>
              <w:right w:val="single" w:sz="4" w:space="0" w:color="000000"/>
            </w:tcBorders>
          </w:tcPr>
          <w:p w14:paraId="2AE382FB" w14:textId="77777777" w:rsidR="000F01F1" w:rsidRDefault="00507EF5">
            <w:pPr>
              <w:rPr>
                <w:rFonts w:ascii="Calibri" w:hAnsi="Calibri" w:cs="Calibri"/>
                <w:iCs/>
                <w:sz w:val="22"/>
                <w:szCs w:val="22"/>
              </w:rPr>
            </w:pPr>
            <w:r>
              <w:rPr>
                <w:rFonts w:ascii="Calibri" w:hAnsi="Calibri" w:cs="Calibri"/>
                <w:iCs/>
                <w:sz w:val="22"/>
                <w:szCs w:val="22"/>
              </w:rPr>
              <w:t>1.2.  Wydawanie i przedłużenie ważności legitymacji szkolnych (dziecko i nauczyciel).</w:t>
            </w:r>
          </w:p>
          <w:p w14:paraId="75248EA1" w14:textId="77777777" w:rsidR="000F01F1" w:rsidRDefault="00507EF5">
            <w:pPr>
              <w:rPr>
                <w:rFonts w:ascii="Calibri" w:hAnsi="Calibri" w:cs="Calibri"/>
                <w:iCs/>
                <w:sz w:val="22"/>
                <w:szCs w:val="22"/>
              </w:rPr>
            </w:pPr>
            <w:r>
              <w:rPr>
                <w:rFonts w:ascii="Calibri" w:hAnsi="Calibri" w:cs="Calibri"/>
                <w:iCs/>
                <w:sz w:val="22"/>
                <w:szCs w:val="22"/>
              </w:rPr>
              <w:t xml:space="preserve">Czy realizacja przedmiotowej usługi została skonsultowana z Ministerstwem Edukacji Narodowej? Czy MSZ posiada dane uczniów i nauczycieli szkół polonijnych do wydania legitymacji? </w:t>
            </w:r>
          </w:p>
        </w:tc>
        <w:tc>
          <w:tcPr>
            <w:tcW w:w="1752" w:type="dxa"/>
            <w:tcBorders>
              <w:top w:val="single" w:sz="4" w:space="0" w:color="000000"/>
              <w:left w:val="single" w:sz="4" w:space="0" w:color="000000"/>
              <w:bottom w:val="single" w:sz="4" w:space="0" w:color="000000"/>
              <w:right w:val="single" w:sz="4" w:space="0" w:color="000000"/>
            </w:tcBorders>
          </w:tcPr>
          <w:p w14:paraId="1680A037" w14:textId="77777777" w:rsidR="000F01F1" w:rsidRDefault="00507EF5">
            <w:pPr>
              <w:jc w:val="center"/>
              <w:rPr>
                <w:rFonts w:ascii="Calibri" w:hAnsi="Calibri" w:cs="Calibri"/>
                <w:sz w:val="22"/>
                <w:szCs w:val="22"/>
              </w:rPr>
            </w:pPr>
            <w:r>
              <w:rPr>
                <w:rFonts w:ascii="Calibri" w:hAnsi="Calibri" w:cs="Calibri"/>
                <w:sz w:val="22"/>
                <w:szCs w:val="22"/>
              </w:rPr>
              <w:t>Proszę o wyjaśnienie</w:t>
            </w:r>
          </w:p>
        </w:tc>
        <w:tc>
          <w:tcPr>
            <w:tcW w:w="4861" w:type="dxa"/>
            <w:tcBorders>
              <w:top w:val="single" w:sz="4" w:space="0" w:color="000000"/>
              <w:left w:val="single" w:sz="4" w:space="0" w:color="000000"/>
              <w:bottom w:val="single" w:sz="4" w:space="0" w:color="000000"/>
              <w:right w:val="single" w:sz="4" w:space="0" w:color="000000"/>
            </w:tcBorders>
          </w:tcPr>
          <w:p w14:paraId="5F8F1CD8" w14:textId="5E5CF734" w:rsidR="000F01F1" w:rsidRDefault="00750EBE">
            <w:pPr>
              <w:rPr>
                <w:rFonts w:ascii="Calibri" w:hAnsi="Calibri" w:cs="Calibri"/>
                <w:sz w:val="22"/>
                <w:szCs w:val="22"/>
              </w:rPr>
            </w:pPr>
            <w:r>
              <w:rPr>
                <w:rFonts w:ascii="Calibri" w:hAnsi="Calibri" w:cs="Calibri"/>
                <w:sz w:val="22"/>
                <w:szCs w:val="22"/>
              </w:rPr>
              <w:t>Patrz wyjaśnienie do pkt. 1 – MEN nie uczestniczy w tej procedurze. Legitymacje są wydawane tylko na wniosek i stąd pochodzą dane do wydawania legitymacji.</w:t>
            </w:r>
          </w:p>
        </w:tc>
      </w:tr>
      <w:tr w:rsidR="000F01F1" w14:paraId="65DD27F8" w14:textId="77777777">
        <w:tc>
          <w:tcPr>
            <w:tcW w:w="561" w:type="dxa"/>
            <w:tcBorders>
              <w:top w:val="single" w:sz="4" w:space="0" w:color="000000"/>
              <w:left w:val="single" w:sz="4" w:space="0" w:color="000000"/>
              <w:bottom w:val="single" w:sz="4" w:space="0" w:color="000000"/>
              <w:right w:val="single" w:sz="4" w:space="0" w:color="000000"/>
            </w:tcBorders>
          </w:tcPr>
          <w:p w14:paraId="4626821E" w14:textId="77777777" w:rsidR="000F01F1" w:rsidRDefault="000F01F1">
            <w:pPr>
              <w:numPr>
                <w:ilvl w:val="0"/>
                <w:numId w:val="1"/>
              </w:numPr>
              <w:spacing w:after="0" w:line="240" w:lineRule="auto"/>
              <w:ind w:left="113" w:firstLine="0"/>
              <w:jc w:val="center"/>
              <w:rPr>
                <w:rFonts w:ascii="Calibri" w:hAnsi="Calibri" w:cs="Calibri"/>
                <w:b/>
                <w:sz w:val="22"/>
                <w:szCs w:val="22"/>
              </w:rPr>
            </w:pPr>
          </w:p>
        </w:tc>
        <w:tc>
          <w:tcPr>
            <w:tcW w:w="1133" w:type="dxa"/>
            <w:tcBorders>
              <w:top w:val="single" w:sz="4" w:space="0" w:color="000000"/>
              <w:left w:val="single" w:sz="4" w:space="0" w:color="000000"/>
              <w:bottom w:val="single" w:sz="4" w:space="0" w:color="000000"/>
              <w:right w:val="single" w:sz="4" w:space="0" w:color="000000"/>
            </w:tcBorders>
          </w:tcPr>
          <w:p w14:paraId="4E5A99B5" w14:textId="77777777" w:rsidR="000F01F1" w:rsidRDefault="00507EF5">
            <w:pPr>
              <w:jc w:val="center"/>
              <w:rPr>
                <w:rFonts w:ascii="Calibri" w:hAnsi="Calibri" w:cs="Calibri"/>
                <w:b/>
                <w:sz w:val="22"/>
                <w:szCs w:val="22"/>
              </w:rPr>
            </w:pPr>
            <w:r>
              <w:rPr>
                <w:rFonts w:ascii="Calibri" w:hAnsi="Calibri" w:cs="Calibri"/>
                <w:b/>
                <w:sz w:val="22"/>
                <w:szCs w:val="22"/>
              </w:rPr>
              <w:t>RA IT</w:t>
            </w:r>
          </w:p>
        </w:tc>
        <w:tc>
          <w:tcPr>
            <w:tcW w:w="1845" w:type="dxa"/>
            <w:tcBorders>
              <w:top w:val="single" w:sz="4" w:space="0" w:color="000000"/>
              <w:left w:val="single" w:sz="4" w:space="0" w:color="000000"/>
              <w:bottom w:val="single" w:sz="4" w:space="0" w:color="000000"/>
              <w:right w:val="single" w:sz="4" w:space="0" w:color="000000"/>
            </w:tcBorders>
          </w:tcPr>
          <w:p w14:paraId="04C7824F" w14:textId="77777777" w:rsidR="000F01F1" w:rsidRDefault="00507EF5">
            <w:pPr>
              <w:jc w:val="center"/>
              <w:rPr>
                <w:rFonts w:ascii="Calibri" w:hAnsi="Calibri" w:cs="Calibri"/>
                <w:bCs/>
                <w:sz w:val="22"/>
                <w:szCs w:val="22"/>
              </w:rPr>
            </w:pPr>
            <w:r>
              <w:rPr>
                <w:rFonts w:ascii="Calibri" w:hAnsi="Calibri" w:cs="Calibri"/>
                <w:bCs/>
                <w:sz w:val="22"/>
                <w:szCs w:val="22"/>
              </w:rPr>
              <w:t>2.2 Udostępnione e-usługi</w:t>
            </w:r>
          </w:p>
        </w:tc>
        <w:tc>
          <w:tcPr>
            <w:tcW w:w="5407" w:type="dxa"/>
            <w:tcBorders>
              <w:top w:val="single" w:sz="4" w:space="0" w:color="000000"/>
              <w:left w:val="single" w:sz="4" w:space="0" w:color="000000"/>
              <w:bottom w:val="single" w:sz="4" w:space="0" w:color="000000"/>
              <w:right w:val="single" w:sz="4" w:space="0" w:color="000000"/>
            </w:tcBorders>
          </w:tcPr>
          <w:p w14:paraId="74DEC419" w14:textId="77777777" w:rsidR="000F01F1" w:rsidRDefault="00507EF5">
            <w:pPr>
              <w:rPr>
                <w:rFonts w:ascii="Calibri" w:hAnsi="Calibri" w:cs="Calibri"/>
                <w:iCs/>
                <w:sz w:val="22"/>
                <w:szCs w:val="22"/>
              </w:rPr>
            </w:pPr>
            <w:r>
              <w:rPr>
                <w:rFonts w:ascii="Calibri" w:hAnsi="Calibri" w:cs="Calibri"/>
                <w:iCs/>
                <w:sz w:val="22"/>
                <w:szCs w:val="22"/>
              </w:rPr>
              <w:t>6. Ponowne rozpatrzenie wniosku o zezwolenie MRG (Małego Ruchu Granicznego).</w:t>
            </w:r>
          </w:p>
          <w:p w14:paraId="2115E427" w14:textId="77777777" w:rsidR="000F01F1" w:rsidRDefault="00507EF5">
            <w:pPr>
              <w:rPr>
                <w:rFonts w:ascii="Calibri" w:hAnsi="Calibri" w:cs="Calibri"/>
                <w:iCs/>
                <w:sz w:val="22"/>
                <w:szCs w:val="22"/>
              </w:rPr>
            </w:pPr>
            <w:r>
              <w:rPr>
                <w:rFonts w:ascii="Calibri" w:hAnsi="Calibri" w:cs="Calibri"/>
                <w:iCs/>
                <w:sz w:val="22"/>
                <w:szCs w:val="22"/>
              </w:rPr>
              <w:t>Zakres oddziaływania: ok 5 transakcji rocznie.</w:t>
            </w:r>
          </w:p>
          <w:p w14:paraId="5FDE6363" w14:textId="77777777" w:rsidR="000F01F1" w:rsidRDefault="00507EF5">
            <w:pPr>
              <w:rPr>
                <w:rFonts w:ascii="Calibri" w:hAnsi="Calibri" w:cs="Calibri"/>
                <w:iCs/>
                <w:sz w:val="22"/>
                <w:szCs w:val="22"/>
              </w:rPr>
            </w:pPr>
            <w:r>
              <w:rPr>
                <w:rFonts w:ascii="Calibri" w:hAnsi="Calibri" w:cs="Calibri"/>
                <w:iCs/>
                <w:sz w:val="22"/>
                <w:szCs w:val="22"/>
              </w:rPr>
              <w:t>Czy to jest średnioroczna ilość transakcji? Jaka jest spodziewana maksymalna ilość transakcji rocznie?</w:t>
            </w:r>
          </w:p>
        </w:tc>
        <w:tc>
          <w:tcPr>
            <w:tcW w:w="1752" w:type="dxa"/>
            <w:tcBorders>
              <w:top w:val="single" w:sz="4" w:space="0" w:color="000000"/>
              <w:left w:val="single" w:sz="4" w:space="0" w:color="000000"/>
              <w:bottom w:val="single" w:sz="4" w:space="0" w:color="000000"/>
              <w:right w:val="single" w:sz="4" w:space="0" w:color="000000"/>
            </w:tcBorders>
          </w:tcPr>
          <w:p w14:paraId="7197C825" w14:textId="77777777" w:rsidR="000F01F1" w:rsidRDefault="00507EF5">
            <w:pPr>
              <w:jc w:val="center"/>
              <w:rPr>
                <w:rFonts w:ascii="Calibri" w:hAnsi="Calibri" w:cs="Calibri"/>
                <w:sz w:val="22"/>
                <w:szCs w:val="22"/>
              </w:rPr>
            </w:pPr>
            <w:r>
              <w:rPr>
                <w:rFonts w:ascii="Calibri" w:hAnsi="Calibri" w:cs="Calibri"/>
                <w:sz w:val="22"/>
                <w:szCs w:val="22"/>
              </w:rPr>
              <w:t>Proszę o wyjaśnienie</w:t>
            </w:r>
          </w:p>
        </w:tc>
        <w:tc>
          <w:tcPr>
            <w:tcW w:w="4861" w:type="dxa"/>
            <w:tcBorders>
              <w:top w:val="single" w:sz="4" w:space="0" w:color="000000"/>
              <w:left w:val="single" w:sz="4" w:space="0" w:color="000000"/>
              <w:bottom w:val="single" w:sz="4" w:space="0" w:color="000000"/>
              <w:right w:val="single" w:sz="4" w:space="0" w:color="000000"/>
            </w:tcBorders>
          </w:tcPr>
          <w:p w14:paraId="66E624F5" w14:textId="77777777" w:rsidR="000F01F1" w:rsidRDefault="00507EF5">
            <w:pPr>
              <w:rPr>
                <w:rFonts w:ascii="Calibri" w:hAnsi="Calibri" w:cs="Calibri"/>
                <w:sz w:val="22"/>
                <w:szCs w:val="22"/>
              </w:rPr>
            </w:pPr>
            <w:r>
              <w:rPr>
                <w:rFonts w:ascii="Calibri" w:hAnsi="Calibri" w:cs="Calibri"/>
                <w:sz w:val="22"/>
                <w:szCs w:val="22"/>
              </w:rPr>
              <w:t xml:space="preserve">Tak, wskazana liczba transakcji stanowi średnioroczną liczbę spraw, wyliczoną na podstawie danych z ostatnich lat. Niska liczba wniosków o ponowne rozpatrzenie wynika przede wszystkim z bardzo niewielkiego odsetka odmów w postępowaniach dotyczących MRG, a więc z naturalnie niewielkiej skali potrzeb składania tego typu wniosków. Spodziewana liczba transakcji rocznie mieści się w przedziale 5–10, zgodnie z dotychczasowymi trendami, jednakże z uwagi na zmiany geopolityczne można przewidywać wzrost tej wartości w latach kolejnych (jednakże na </w:t>
            </w:r>
            <w:r>
              <w:rPr>
                <w:rFonts w:ascii="Calibri" w:hAnsi="Calibri" w:cs="Calibri"/>
                <w:sz w:val="22"/>
                <w:szCs w:val="22"/>
              </w:rPr>
              <w:lastRenderedPageBreak/>
              <w:t>potrzeby dokumentacji aplikacyjnej założono bezpieczną wartość).</w:t>
            </w:r>
          </w:p>
          <w:p w14:paraId="2624AC0A" w14:textId="77777777" w:rsidR="000F01F1" w:rsidRDefault="00507EF5">
            <w:pPr>
              <w:rPr>
                <w:rFonts w:ascii="Calibri" w:hAnsi="Calibri" w:cs="Calibri"/>
                <w:sz w:val="22"/>
                <w:szCs w:val="22"/>
              </w:rPr>
            </w:pPr>
            <w:r>
              <w:rPr>
                <w:rFonts w:ascii="Calibri" w:hAnsi="Calibri" w:cs="Calibri"/>
                <w:sz w:val="22"/>
                <w:szCs w:val="22"/>
              </w:rPr>
              <w:t>Jednocześnie uzasadniamy podtrzymanie decyzji o wdrożeniu tej e-usługi w ramach projektu. Celem Wnioskodawcy jest kompleksowa obsługa całego obszaru Małego Ruchu Granicznego w nowym systemie, obejmująca zarówno wnioski główne, jak i działania następcze. Dodanie e-usługi dotyczącej ponownego rozpatrzenia nie wpływa istotnie na koszty ani złożoność wdrożenia, a zakłada wykorzystanie wdrażanych w projekcie mechanizmów.</w:t>
            </w:r>
          </w:p>
          <w:p w14:paraId="67E8B7B9" w14:textId="77777777" w:rsidR="000F01F1" w:rsidRDefault="00507EF5">
            <w:pPr>
              <w:rPr>
                <w:rFonts w:ascii="Calibri" w:hAnsi="Calibri" w:cs="Calibri"/>
                <w:sz w:val="22"/>
                <w:szCs w:val="22"/>
              </w:rPr>
            </w:pPr>
            <w:r>
              <w:rPr>
                <w:rFonts w:ascii="Calibri" w:hAnsi="Calibri" w:cs="Calibri"/>
                <w:sz w:val="22"/>
                <w:szCs w:val="22"/>
              </w:rPr>
              <w:t>Ujęcie tej usługi w projekcie zapewnia pełną spójność i kompletność procesu obsługi MRG, a jednocześnie nie obciąża projektu dodatkowymi, istotnymi nakładami.</w:t>
            </w:r>
          </w:p>
        </w:tc>
      </w:tr>
      <w:tr w:rsidR="000F01F1" w14:paraId="41324A43" w14:textId="77777777">
        <w:tc>
          <w:tcPr>
            <w:tcW w:w="561" w:type="dxa"/>
            <w:tcBorders>
              <w:top w:val="single" w:sz="4" w:space="0" w:color="000000"/>
              <w:left w:val="single" w:sz="4" w:space="0" w:color="000000"/>
              <w:bottom w:val="single" w:sz="4" w:space="0" w:color="000000"/>
              <w:right w:val="single" w:sz="4" w:space="0" w:color="000000"/>
            </w:tcBorders>
          </w:tcPr>
          <w:p w14:paraId="70534748" w14:textId="77777777" w:rsidR="000F01F1" w:rsidRDefault="000F01F1">
            <w:pPr>
              <w:numPr>
                <w:ilvl w:val="0"/>
                <w:numId w:val="1"/>
              </w:numPr>
              <w:spacing w:after="0" w:line="240" w:lineRule="auto"/>
              <w:ind w:left="113" w:firstLine="0"/>
              <w:jc w:val="center"/>
              <w:rPr>
                <w:rFonts w:ascii="Calibri" w:hAnsi="Calibri" w:cs="Calibri"/>
                <w:b/>
                <w:sz w:val="22"/>
                <w:szCs w:val="22"/>
              </w:rPr>
            </w:pPr>
          </w:p>
        </w:tc>
        <w:tc>
          <w:tcPr>
            <w:tcW w:w="1133" w:type="dxa"/>
            <w:tcBorders>
              <w:top w:val="single" w:sz="4" w:space="0" w:color="000000"/>
              <w:left w:val="single" w:sz="4" w:space="0" w:color="000000"/>
              <w:bottom w:val="single" w:sz="4" w:space="0" w:color="000000"/>
              <w:right w:val="single" w:sz="4" w:space="0" w:color="000000"/>
            </w:tcBorders>
          </w:tcPr>
          <w:p w14:paraId="45E28E77" w14:textId="77777777" w:rsidR="000F01F1" w:rsidRDefault="00507EF5">
            <w:pPr>
              <w:jc w:val="center"/>
              <w:rPr>
                <w:rFonts w:ascii="Calibri" w:hAnsi="Calibri" w:cs="Calibri"/>
                <w:b/>
                <w:sz w:val="22"/>
                <w:szCs w:val="22"/>
              </w:rPr>
            </w:pPr>
            <w:r>
              <w:rPr>
                <w:rFonts w:ascii="Calibri" w:hAnsi="Calibri" w:cs="Calibri"/>
                <w:b/>
                <w:sz w:val="22"/>
                <w:szCs w:val="22"/>
              </w:rPr>
              <w:t>RA IT</w:t>
            </w:r>
          </w:p>
        </w:tc>
        <w:tc>
          <w:tcPr>
            <w:tcW w:w="1845" w:type="dxa"/>
            <w:tcBorders>
              <w:top w:val="single" w:sz="4" w:space="0" w:color="000000"/>
              <w:left w:val="single" w:sz="4" w:space="0" w:color="000000"/>
              <w:bottom w:val="single" w:sz="4" w:space="0" w:color="000000"/>
              <w:right w:val="single" w:sz="4" w:space="0" w:color="000000"/>
            </w:tcBorders>
          </w:tcPr>
          <w:p w14:paraId="1F804812" w14:textId="77777777" w:rsidR="000F01F1" w:rsidRDefault="00507EF5">
            <w:pPr>
              <w:jc w:val="center"/>
              <w:rPr>
                <w:rFonts w:ascii="Calibri" w:hAnsi="Calibri" w:cs="Calibri"/>
                <w:bCs/>
                <w:sz w:val="22"/>
                <w:szCs w:val="22"/>
              </w:rPr>
            </w:pPr>
            <w:r>
              <w:rPr>
                <w:rFonts w:ascii="Calibri" w:hAnsi="Calibri" w:cs="Calibri"/>
                <w:bCs/>
                <w:sz w:val="22"/>
                <w:szCs w:val="22"/>
              </w:rPr>
              <w:t>3. Kamienie Milowe</w:t>
            </w:r>
          </w:p>
        </w:tc>
        <w:tc>
          <w:tcPr>
            <w:tcW w:w="5407" w:type="dxa"/>
            <w:tcBorders>
              <w:top w:val="single" w:sz="4" w:space="0" w:color="000000"/>
              <w:left w:val="single" w:sz="4" w:space="0" w:color="000000"/>
              <w:bottom w:val="single" w:sz="4" w:space="0" w:color="000000"/>
              <w:right w:val="single" w:sz="4" w:space="0" w:color="000000"/>
            </w:tcBorders>
          </w:tcPr>
          <w:p w14:paraId="1759900A" w14:textId="77777777" w:rsidR="000F01F1" w:rsidRDefault="00507EF5">
            <w:pPr>
              <w:rPr>
                <w:rFonts w:ascii="Calibri" w:hAnsi="Calibri" w:cs="Calibri"/>
                <w:iCs/>
                <w:sz w:val="22"/>
                <w:szCs w:val="22"/>
              </w:rPr>
            </w:pPr>
            <w:r>
              <w:rPr>
                <w:rFonts w:ascii="Calibri" w:hAnsi="Calibri" w:cs="Calibri"/>
                <w:iCs/>
                <w:sz w:val="22"/>
                <w:szCs w:val="22"/>
              </w:rPr>
              <w:t xml:space="preserve">Czy jedna umowa na budowę </w:t>
            </w:r>
            <w:proofErr w:type="spellStart"/>
            <w:r>
              <w:rPr>
                <w:rFonts w:ascii="Calibri" w:hAnsi="Calibri" w:cs="Calibri"/>
                <w:iCs/>
                <w:sz w:val="22"/>
                <w:szCs w:val="22"/>
              </w:rPr>
              <w:t>ePUK</w:t>
            </w:r>
            <w:proofErr w:type="spellEnd"/>
            <w:r>
              <w:rPr>
                <w:rFonts w:ascii="Calibri" w:hAnsi="Calibri" w:cs="Calibri"/>
                <w:iCs/>
                <w:sz w:val="22"/>
                <w:szCs w:val="22"/>
              </w:rPr>
              <w:t xml:space="preserve"> będzie zawierała zarówno budowę 2 serwerowni oraz wykonanie systemu?</w:t>
            </w:r>
          </w:p>
        </w:tc>
        <w:tc>
          <w:tcPr>
            <w:tcW w:w="1752" w:type="dxa"/>
            <w:tcBorders>
              <w:top w:val="single" w:sz="4" w:space="0" w:color="000000"/>
              <w:left w:val="single" w:sz="4" w:space="0" w:color="000000"/>
              <w:bottom w:val="single" w:sz="4" w:space="0" w:color="000000"/>
              <w:right w:val="single" w:sz="4" w:space="0" w:color="000000"/>
            </w:tcBorders>
          </w:tcPr>
          <w:p w14:paraId="61F79DA2" w14:textId="77777777" w:rsidR="000F01F1" w:rsidRDefault="00507EF5">
            <w:pPr>
              <w:jc w:val="center"/>
              <w:rPr>
                <w:rFonts w:ascii="Calibri" w:hAnsi="Calibri" w:cs="Calibri"/>
                <w:sz w:val="22"/>
                <w:szCs w:val="22"/>
              </w:rPr>
            </w:pPr>
            <w:r>
              <w:rPr>
                <w:rFonts w:ascii="Calibri" w:hAnsi="Calibri" w:cs="Calibri"/>
                <w:sz w:val="22"/>
                <w:szCs w:val="22"/>
              </w:rPr>
              <w:t>Proszę o wyjaśnienie</w:t>
            </w:r>
          </w:p>
        </w:tc>
        <w:tc>
          <w:tcPr>
            <w:tcW w:w="4861" w:type="dxa"/>
            <w:tcBorders>
              <w:top w:val="single" w:sz="4" w:space="0" w:color="000000"/>
              <w:left w:val="single" w:sz="4" w:space="0" w:color="000000"/>
              <w:bottom w:val="single" w:sz="4" w:space="0" w:color="000000"/>
              <w:right w:val="single" w:sz="4" w:space="0" w:color="000000"/>
            </w:tcBorders>
          </w:tcPr>
          <w:p w14:paraId="73672D0F" w14:textId="77777777" w:rsidR="000F01F1" w:rsidRDefault="00507EF5">
            <w:pPr>
              <w:rPr>
                <w:rFonts w:ascii="Calibri" w:hAnsi="Calibri" w:cs="Calibri"/>
                <w:sz w:val="22"/>
                <w:szCs w:val="22"/>
              </w:rPr>
            </w:pPr>
            <w:r>
              <w:rPr>
                <w:rFonts w:ascii="Calibri" w:hAnsi="Calibri" w:cs="Calibri"/>
                <w:sz w:val="22"/>
                <w:szCs w:val="22"/>
              </w:rPr>
              <w:t xml:space="preserve">Zakładane jest wybranie jednego wykonawcy odpowiedzialnego zarówno za dostawę i konfigurację infrastruktury IT w dwóch serwerowniach, jak i zaprojektowanie oraz wytworzenie systemu </w:t>
            </w:r>
            <w:proofErr w:type="spellStart"/>
            <w:r>
              <w:rPr>
                <w:rFonts w:ascii="Calibri" w:hAnsi="Calibri" w:cs="Calibri"/>
                <w:sz w:val="22"/>
                <w:szCs w:val="22"/>
              </w:rPr>
              <w:t>ePUK</w:t>
            </w:r>
            <w:proofErr w:type="spellEnd"/>
            <w:r>
              <w:rPr>
                <w:rFonts w:ascii="Calibri" w:hAnsi="Calibri" w:cs="Calibri"/>
                <w:sz w:val="22"/>
                <w:szCs w:val="22"/>
              </w:rPr>
              <w:t>. Wynika to ze specyfiki przedsięwzięcia, które ma charakter projektu integratorskiego, obejmującego wiele współzależnych modułów i komponentów infrastrukturalnych.</w:t>
            </w:r>
          </w:p>
          <w:p w14:paraId="58389727" w14:textId="77777777" w:rsidR="000F01F1" w:rsidRDefault="00507EF5">
            <w:pPr>
              <w:rPr>
                <w:rFonts w:ascii="Calibri" w:hAnsi="Calibri" w:cs="Calibri"/>
                <w:sz w:val="22"/>
                <w:szCs w:val="22"/>
              </w:rPr>
            </w:pPr>
            <w:r>
              <w:rPr>
                <w:rFonts w:ascii="Calibri" w:hAnsi="Calibri" w:cs="Calibri"/>
                <w:sz w:val="22"/>
                <w:szCs w:val="22"/>
              </w:rPr>
              <w:t xml:space="preserve">Z uwagi na stopień skomplikowania całego rozwiązania przyjęcie formuły „zaprojektuj i </w:t>
            </w:r>
            <w:r>
              <w:rPr>
                <w:rFonts w:ascii="Calibri" w:hAnsi="Calibri" w:cs="Calibri"/>
                <w:sz w:val="22"/>
                <w:szCs w:val="22"/>
              </w:rPr>
              <w:lastRenderedPageBreak/>
              <w:t>wybuduj” jest najbardziej optymalne. Pozwala to na:</w:t>
            </w:r>
          </w:p>
          <w:p w14:paraId="0E0B9301" w14:textId="77777777" w:rsidR="000F01F1" w:rsidRDefault="00507EF5">
            <w:pPr>
              <w:numPr>
                <w:ilvl w:val="0"/>
                <w:numId w:val="2"/>
              </w:numPr>
              <w:rPr>
                <w:rFonts w:ascii="Calibri" w:hAnsi="Calibri" w:cs="Calibri"/>
                <w:sz w:val="22"/>
                <w:szCs w:val="22"/>
              </w:rPr>
            </w:pPr>
            <w:r>
              <w:rPr>
                <w:rFonts w:ascii="Calibri" w:hAnsi="Calibri" w:cs="Calibri"/>
                <w:sz w:val="22"/>
                <w:szCs w:val="22"/>
              </w:rPr>
              <w:t>zachowanie spójności architektonicznej pomiędzy warstwą infrastrukturalną i systemową,</w:t>
            </w:r>
          </w:p>
          <w:p w14:paraId="6D134D0D" w14:textId="77777777" w:rsidR="000F01F1" w:rsidRDefault="00507EF5">
            <w:pPr>
              <w:numPr>
                <w:ilvl w:val="0"/>
                <w:numId w:val="2"/>
              </w:numPr>
              <w:rPr>
                <w:rFonts w:ascii="Calibri" w:hAnsi="Calibri" w:cs="Calibri"/>
                <w:sz w:val="22"/>
                <w:szCs w:val="22"/>
              </w:rPr>
            </w:pPr>
            <w:r>
              <w:rPr>
                <w:rFonts w:ascii="Calibri" w:hAnsi="Calibri" w:cs="Calibri"/>
                <w:sz w:val="22"/>
                <w:szCs w:val="22"/>
              </w:rPr>
              <w:t xml:space="preserve">ograniczenie </w:t>
            </w:r>
            <w:proofErr w:type="spellStart"/>
            <w:r>
              <w:rPr>
                <w:rFonts w:ascii="Calibri" w:hAnsi="Calibri" w:cs="Calibri"/>
                <w:sz w:val="22"/>
                <w:szCs w:val="22"/>
              </w:rPr>
              <w:t>ryzyk</w:t>
            </w:r>
            <w:proofErr w:type="spellEnd"/>
            <w:r>
              <w:rPr>
                <w:rFonts w:ascii="Calibri" w:hAnsi="Calibri" w:cs="Calibri"/>
                <w:sz w:val="22"/>
                <w:szCs w:val="22"/>
              </w:rPr>
              <w:t xml:space="preserve"> związanych z rozdzieleniem wykonawstwa na wielu wykonawców,</w:t>
            </w:r>
          </w:p>
          <w:p w14:paraId="187FD4B3" w14:textId="77777777" w:rsidR="000F01F1" w:rsidRDefault="00507EF5">
            <w:pPr>
              <w:numPr>
                <w:ilvl w:val="0"/>
                <w:numId w:val="2"/>
              </w:numPr>
              <w:rPr>
                <w:rFonts w:ascii="Calibri" w:hAnsi="Calibri" w:cs="Calibri"/>
                <w:sz w:val="22"/>
                <w:szCs w:val="22"/>
              </w:rPr>
            </w:pPr>
            <w:r>
              <w:rPr>
                <w:rFonts w:ascii="Calibri" w:hAnsi="Calibri" w:cs="Calibri"/>
                <w:sz w:val="22"/>
                <w:szCs w:val="22"/>
              </w:rPr>
              <w:t>zapewnienie jednego odpowiedzialnego integratora za całość rozwiązania,</w:t>
            </w:r>
          </w:p>
          <w:p w14:paraId="7B0F9CEF" w14:textId="77777777" w:rsidR="000F01F1" w:rsidRDefault="00507EF5">
            <w:pPr>
              <w:numPr>
                <w:ilvl w:val="0"/>
                <w:numId w:val="2"/>
              </w:numPr>
              <w:rPr>
                <w:rFonts w:ascii="Calibri" w:hAnsi="Calibri" w:cs="Calibri"/>
                <w:sz w:val="22"/>
                <w:szCs w:val="22"/>
              </w:rPr>
            </w:pPr>
            <w:r>
              <w:rPr>
                <w:rFonts w:ascii="Calibri" w:hAnsi="Calibri" w:cs="Calibri"/>
                <w:sz w:val="22"/>
                <w:szCs w:val="22"/>
              </w:rPr>
              <w:t>efektywne zarządzanie harmonogramem i terminami.</w:t>
            </w:r>
          </w:p>
          <w:p w14:paraId="210468B9" w14:textId="77777777" w:rsidR="000F01F1" w:rsidRDefault="00507EF5">
            <w:pPr>
              <w:rPr>
                <w:rFonts w:ascii="Calibri" w:hAnsi="Calibri" w:cs="Calibri"/>
                <w:sz w:val="22"/>
                <w:szCs w:val="22"/>
              </w:rPr>
            </w:pPr>
            <w:r>
              <w:rPr>
                <w:rFonts w:ascii="Calibri" w:hAnsi="Calibri" w:cs="Calibri"/>
                <w:sz w:val="22"/>
                <w:szCs w:val="22"/>
              </w:rPr>
              <w:t>Biorąc pod uwagę pozostały czas na projektowanie, wytworzenie, testy, wdrożenie oraz późniejsze włączenie znacznej liczby placówek, podział na kilka odrębnych umów byłby nieefektywny i mógłby generować dodatkowe opóźnienia. Zintegrowana realizacja w ramach jednej umowy minimalizuje ryzyka i pozwala na sprawniejsze przeprowadzenie całego procesu wdrożeniowego.</w:t>
            </w:r>
          </w:p>
        </w:tc>
      </w:tr>
      <w:tr w:rsidR="000F01F1" w14:paraId="67F4FF0B" w14:textId="77777777">
        <w:tc>
          <w:tcPr>
            <w:tcW w:w="561" w:type="dxa"/>
            <w:tcBorders>
              <w:top w:val="single" w:sz="4" w:space="0" w:color="000000"/>
              <w:left w:val="single" w:sz="4" w:space="0" w:color="000000"/>
              <w:bottom w:val="single" w:sz="4" w:space="0" w:color="000000"/>
              <w:right w:val="single" w:sz="4" w:space="0" w:color="000000"/>
            </w:tcBorders>
          </w:tcPr>
          <w:p w14:paraId="4157CA00" w14:textId="77777777" w:rsidR="000F01F1" w:rsidRDefault="000F01F1">
            <w:pPr>
              <w:numPr>
                <w:ilvl w:val="0"/>
                <w:numId w:val="1"/>
              </w:numPr>
              <w:spacing w:after="0" w:line="240" w:lineRule="auto"/>
              <w:ind w:left="113" w:firstLine="0"/>
              <w:jc w:val="center"/>
              <w:rPr>
                <w:rFonts w:ascii="Calibri" w:hAnsi="Calibri" w:cs="Calibri"/>
                <w:b/>
                <w:sz w:val="22"/>
                <w:szCs w:val="22"/>
              </w:rPr>
            </w:pPr>
          </w:p>
        </w:tc>
        <w:tc>
          <w:tcPr>
            <w:tcW w:w="1133" w:type="dxa"/>
            <w:tcBorders>
              <w:top w:val="single" w:sz="4" w:space="0" w:color="000000"/>
              <w:left w:val="single" w:sz="4" w:space="0" w:color="000000"/>
              <w:bottom w:val="single" w:sz="4" w:space="0" w:color="000000"/>
              <w:right w:val="single" w:sz="4" w:space="0" w:color="000000"/>
            </w:tcBorders>
          </w:tcPr>
          <w:p w14:paraId="5FED3DC9" w14:textId="77777777" w:rsidR="000F01F1" w:rsidRDefault="00507EF5">
            <w:pPr>
              <w:jc w:val="center"/>
              <w:rPr>
                <w:rFonts w:ascii="Calibri" w:hAnsi="Calibri" w:cs="Calibri"/>
                <w:b/>
                <w:sz w:val="22"/>
                <w:szCs w:val="22"/>
              </w:rPr>
            </w:pPr>
            <w:r>
              <w:rPr>
                <w:rFonts w:ascii="Calibri" w:hAnsi="Calibri" w:cs="Calibri"/>
                <w:b/>
                <w:sz w:val="22"/>
                <w:szCs w:val="22"/>
              </w:rPr>
              <w:t>RA IT</w:t>
            </w:r>
          </w:p>
        </w:tc>
        <w:tc>
          <w:tcPr>
            <w:tcW w:w="1845" w:type="dxa"/>
            <w:tcBorders>
              <w:top w:val="single" w:sz="4" w:space="0" w:color="000000"/>
              <w:left w:val="single" w:sz="4" w:space="0" w:color="000000"/>
              <w:bottom w:val="single" w:sz="4" w:space="0" w:color="000000"/>
              <w:right w:val="single" w:sz="4" w:space="0" w:color="000000"/>
            </w:tcBorders>
          </w:tcPr>
          <w:p w14:paraId="2B68356B" w14:textId="77777777" w:rsidR="000F01F1" w:rsidRDefault="00507EF5">
            <w:pPr>
              <w:jc w:val="center"/>
              <w:rPr>
                <w:rFonts w:ascii="Calibri" w:hAnsi="Calibri" w:cs="Calibri"/>
                <w:bCs/>
                <w:sz w:val="22"/>
                <w:szCs w:val="22"/>
              </w:rPr>
            </w:pPr>
            <w:r>
              <w:rPr>
                <w:rFonts w:ascii="Calibri" w:hAnsi="Calibri" w:cs="Calibri"/>
                <w:bCs/>
                <w:sz w:val="22"/>
                <w:szCs w:val="22"/>
              </w:rPr>
              <w:t>3. Kamienie Milowe</w:t>
            </w:r>
          </w:p>
        </w:tc>
        <w:tc>
          <w:tcPr>
            <w:tcW w:w="5407" w:type="dxa"/>
            <w:tcBorders>
              <w:top w:val="single" w:sz="4" w:space="0" w:color="000000"/>
              <w:left w:val="single" w:sz="4" w:space="0" w:color="000000"/>
              <w:bottom w:val="single" w:sz="4" w:space="0" w:color="000000"/>
              <w:right w:val="single" w:sz="4" w:space="0" w:color="000000"/>
            </w:tcBorders>
          </w:tcPr>
          <w:p w14:paraId="57D604D7" w14:textId="77777777" w:rsidR="000F01F1" w:rsidRDefault="00507EF5">
            <w:pPr>
              <w:rPr>
                <w:rFonts w:ascii="Calibri" w:hAnsi="Calibri" w:cs="Calibri"/>
                <w:iCs/>
                <w:sz w:val="22"/>
                <w:szCs w:val="22"/>
              </w:rPr>
            </w:pPr>
            <w:r>
              <w:rPr>
                <w:rFonts w:ascii="Calibri" w:hAnsi="Calibri" w:cs="Calibri"/>
                <w:iCs/>
                <w:sz w:val="22"/>
                <w:szCs w:val="22"/>
              </w:rPr>
              <w:t>Konieczne jest wskazania dodatkowych kamieni milowych potwierdzających realizację kolejnych etapów umowy tj. dostawa, konfiguracja sprzętu, odbiór poszczególnych usług etapami?</w:t>
            </w:r>
          </w:p>
          <w:p w14:paraId="48848412" w14:textId="77777777" w:rsidR="000F01F1" w:rsidRDefault="00507EF5">
            <w:pPr>
              <w:rPr>
                <w:rFonts w:ascii="Calibri" w:hAnsi="Calibri" w:cs="Calibri"/>
                <w:iCs/>
                <w:sz w:val="22"/>
                <w:szCs w:val="22"/>
              </w:rPr>
            </w:pPr>
            <w:r>
              <w:rPr>
                <w:rFonts w:ascii="Calibri" w:hAnsi="Calibri" w:cs="Calibri"/>
                <w:iCs/>
                <w:sz w:val="22"/>
                <w:szCs w:val="22"/>
              </w:rPr>
              <w:lastRenderedPageBreak/>
              <w:t>Dodatkowo 30.04.28 ma zostać skonfigurowana infrastruktura IT pod system a 31.05.2028 ma być system gotowy do testów? Czy miesiąc czasu jest wystarczający na realizację tego zadania?</w:t>
            </w:r>
          </w:p>
        </w:tc>
        <w:tc>
          <w:tcPr>
            <w:tcW w:w="1752" w:type="dxa"/>
            <w:tcBorders>
              <w:top w:val="single" w:sz="4" w:space="0" w:color="000000"/>
              <w:left w:val="single" w:sz="4" w:space="0" w:color="000000"/>
              <w:bottom w:val="single" w:sz="4" w:space="0" w:color="000000"/>
              <w:right w:val="single" w:sz="4" w:space="0" w:color="000000"/>
            </w:tcBorders>
          </w:tcPr>
          <w:p w14:paraId="1ECB89D2" w14:textId="77777777" w:rsidR="000F01F1" w:rsidRDefault="00507EF5">
            <w:pPr>
              <w:jc w:val="center"/>
              <w:rPr>
                <w:rFonts w:ascii="Calibri" w:hAnsi="Calibri" w:cs="Calibri"/>
                <w:sz w:val="22"/>
                <w:szCs w:val="22"/>
              </w:rPr>
            </w:pPr>
            <w:r>
              <w:rPr>
                <w:rFonts w:ascii="Calibri" w:hAnsi="Calibri" w:cs="Calibri"/>
                <w:sz w:val="22"/>
                <w:szCs w:val="22"/>
              </w:rPr>
              <w:lastRenderedPageBreak/>
              <w:t>Proszę o analizę i korektę opisu założeń</w:t>
            </w:r>
          </w:p>
        </w:tc>
        <w:tc>
          <w:tcPr>
            <w:tcW w:w="4861" w:type="dxa"/>
            <w:tcBorders>
              <w:top w:val="single" w:sz="4" w:space="0" w:color="000000"/>
              <w:left w:val="single" w:sz="4" w:space="0" w:color="000000"/>
              <w:bottom w:val="single" w:sz="4" w:space="0" w:color="000000"/>
              <w:right w:val="single" w:sz="4" w:space="0" w:color="000000"/>
            </w:tcBorders>
          </w:tcPr>
          <w:p w14:paraId="01730A9F" w14:textId="66EB1E2C" w:rsidR="000F01F1" w:rsidRDefault="00507EF5">
            <w:r>
              <w:rPr>
                <w:rFonts w:ascii="Calibri" w:hAnsi="Calibri" w:cs="Calibri"/>
                <w:sz w:val="22"/>
                <w:szCs w:val="22"/>
              </w:rPr>
              <w:t xml:space="preserve">W momencie podpisywania umowy o dofinansowanie konieczna będzie aktualizacja harmonogramu a tym samym terminów kamieni milowych. Szczegóły dotyczące harmonogramu i opisy kamieni milowych, przedstawiające ich zakres, </w:t>
            </w:r>
            <w:r>
              <w:rPr>
                <w:rFonts w:ascii="Calibri" w:hAnsi="Calibri" w:cs="Calibri"/>
                <w:sz w:val="22"/>
                <w:szCs w:val="22"/>
              </w:rPr>
              <w:lastRenderedPageBreak/>
              <w:t xml:space="preserve">pozwalający monitorować postępy realizacji umowy w sposób wyczerpujący, zostały zawarte w </w:t>
            </w:r>
            <w:r w:rsidR="00750EBE">
              <w:rPr>
                <w:rFonts w:ascii="Calibri" w:hAnsi="Calibri" w:cs="Calibri"/>
                <w:sz w:val="22"/>
                <w:szCs w:val="22"/>
              </w:rPr>
              <w:t>S</w:t>
            </w:r>
            <w:r>
              <w:rPr>
                <w:rFonts w:ascii="Calibri" w:hAnsi="Calibri" w:cs="Calibri"/>
                <w:sz w:val="22"/>
                <w:szCs w:val="22"/>
              </w:rPr>
              <w:t xml:space="preserve">tudium </w:t>
            </w:r>
            <w:r w:rsidR="00750EBE">
              <w:rPr>
                <w:rFonts w:ascii="Calibri" w:hAnsi="Calibri" w:cs="Calibri"/>
                <w:sz w:val="22"/>
                <w:szCs w:val="22"/>
              </w:rPr>
              <w:t>W</w:t>
            </w:r>
            <w:r>
              <w:rPr>
                <w:rFonts w:ascii="Calibri" w:hAnsi="Calibri" w:cs="Calibri"/>
                <w:sz w:val="22"/>
                <w:szCs w:val="22"/>
              </w:rPr>
              <w:t>ykonalności.</w:t>
            </w:r>
          </w:p>
          <w:p w14:paraId="356B1442" w14:textId="77777777" w:rsidR="000F01F1" w:rsidRDefault="00507EF5">
            <w:pPr>
              <w:rPr>
                <w:rFonts w:ascii="Calibri" w:hAnsi="Calibri" w:cs="Calibri"/>
                <w:sz w:val="22"/>
                <w:szCs w:val="22"/>
              </w:rPr>
            </w:pPr>
            <w:r>
              <w:rPr>
                <w:rFonts w:ascii="Calibri" w:hAnsi="Calibri" w:cs="Calibri"/>
                <w:sz w:val="22"/>
                <w:szCs w:val="22"/>
              </w:rPr>
              <w:t xml:space="preserve">Kamień milowy „Skonfigurowana infrastruktura ITS” dotyczy przygotowania środowiska produkcyjnego ITS (Infrastruktury Technicznej Systemu) do rozpoczęcia etapu pilotażu systemu </w:t>
            </w:r>
            <w:proofErr w:type="spellStart"/>
            <w:r>
              <w:rPr>
                <w:rFonts w:ascii="Calibri" w:hAnsi="Calibri" w:cs="Calibri"/>
                <w:sz w:val="22"/>
                <w:szCs w:val="22"/>
              </w:rPr>
              <w:t>ePUK</w:t>
            </w:r>
            <w:proofErr w:type="spellEnd"/>
            <w:r>
              <w:rPr>
                <w:rFonts w:ascii="Calibri" w:hAnsi="Calibri" w:cs="Calibri"/>
                <w:sz w:val="22"/>
                <w:szCs w:val="22"/>
              </w:rPr>
              <w:t>. Zgodnie z aktualnym harmonogramem środowiska testowe będą dostępne pod koniec 1 kwartału 2027.</w:t>
            </w:r>
          </w:p>
        </w:tc>
      </w:tr>
      <w:tr w:rsidR="000F01F1" w14:paraId="15F3783E" w14:textId="77777777">
        <w:tc>
          <w:tcPr>
            <w:tcW w:w="561" w:type="dxa"/>
            <w:tcBorders>
              <w:top w:val="single" w:sz="4" w:space="0" w:color="000000"/>
              <w:left w:val="single" w:sz="4" w:space="0" w:color="000000"/>
              <w:bottom w:val="single" w:sz="4" w:space="0" w:color="000000"/>
              <w:right w:val="single" w:sz="4" w:space="0" w:color="000000"/>
            </w:tcBorders>
          </w:tcPr>
          <w:p w14:paraId="3CE930D9" w14:textId="77777777" w:rsidR="000F01F1" w:rsidRDefault="000F01F1">
            <w:pPr>
              <w:numPr>
                <w:ilvl w:val="0"/>
                <w:numId w:val="1"/>
              </w:numPr>
              <w:spacing w:after="0" w:line="240" w:lineRule="auto"/>
              <w:ind w:left="113" w:firstLine="0"/>
              <w:jc w:val="center"/>
              <w:rPr>
                <w:rFonts w:ascii="Calibri" w:hAnsi="Calibri" w:cs="Calibri"/>
                <w:b/>
                <w:sz w:val="22"/>
                <w:szCs w:val="22"/>
              </w:rPr>
            </w:pPr>
          </w:p>
        </w:tc>
        <w:tc>
          <w:tcPr>
            <w:tcW w:w="1133" w:type="dxa"/>
            <w:tcBorders>
              <w:top w:val="single" w:sz="4" w:space="0" w:color="000000"/>
              <w:left w:val="single" w:sz="4" w:space="0" w:color="000000"/>
              <w:bottom w:val="single" w:sz="4" w:space="0" w:color="000000"/>
              <w:right w:val="single" w:sz="4" w:space="0" w:color="000000"/>
            </w:tcBorders>
          </w:tcPr>
          <w:p w14:paraId="5903C53B" w14:textId="77777777" w:rsidR="000F01F1" w:rsidRDefault="00507EF5">
            <w:pPr>
              <w:jc w:val="center"/>
              <w:rPr>
                <w:rFonts w:ascii="Calibri" w:hAnsi="Calibri" w:cs="Calibri"/>
                <w:b/>
                <w:sz w:val="22"/>
                <w:szCs w:val="22"/>
              </w:rPr>
            </w:pPr>
            <w:r>
              <w:rPr>
                <w:rFonts w:ascii="Calibri" w:hAnsi="Calibri" w:cs="Calibri"/>
                <w:b/>
                <w:sz w:val="22"/>
                <w:szCs w:val="22"/>
              </w:rPr>
              <w:t>RA IT</w:t>
            </w:r>
          </w:p>
        </w:tc>
        <w:tc>
          <w:tcPr>
            <w:tcW w:w="1845" w:type="dxa"/>
            <w:tcBorders>
              <w:top w:val="single" w:sz="4" w:space="0" w:color="000000"/>
              <w:left w:val="single" w:sz="4" w:space="0" w:color="000000"/>
              <w:bottom w:val="single" w:sz="4" w:space="0" w:color="000000"/>
              <w:right w:val="single" w:sz="4" w:space="0" w:color="000000"/>
            </w:tcBorders>
          </w:tcPr>
          <w:p w14:paraId="00B23E75" w14:textId="77777777" w:rsidR="000F01F1" w:rsidRDefault="00507EF5">
            <w:pPr>
              <w:jc w:val="center"/>
              <w:rPr>
                <w:rFonts w:ascii="Calibri" w:hAnsi="Calibri" w:cs="Calibri"/>
                <w:bCs/>
                <w:sz w:val="22"/>
                <w:szCs w:val="22"/>
              </w:rPr>
            </w:pPr>
            <w:r>
              <w:rPr>
                <w:rFonts w:ascii="Calibri" w:hAnsi="Calibri" w:cs="Calibri"/>
                <w:bCs/>
                <w:sz w:val="22"/>
                <w:szCs w:val="22"/>
              </w:rPr>
              <w:t>4.2 Wykaz poszczególnych pozycji kosztowych</w:t>
            </w:r>
          </w:p>
        </w:tc>
        <w:tc>
          <w:tcPr>
            <w:tcW w:w="5407" w:type="dxa"/>
            <w:tcBorders>
              <w:top w:val="single" w:sz="4" w:space="0" w:color="000000"/>
              <w:left w:val="single" w:sz="4" w:space="0" w:color="000000"/>
              <w:bottom w:val="single" w:sz="4" w:space="0" w:color="000000"/>
              <w:right w:val="single" w:sz="4" w:space="0" w:color="000000"/>
            </w:tcBorders>
          </w:tcPr>
          <w:p w14:paraId="5112AFB2" w14:textId="77777777" w:rsidR="000F01F1" w:rsidRDefault="00507EF5">
            <w:pPr>
              <w:rPr>
                <w:rFonts w:ascii="Calibri" w:hAnsi="Calibri" w:cs="Calibri"/>
                <w:iCs/>
                <w:sz w:val="22"/>
                <w:szCs w:val="22"/>
              </w:rPr>
            </w:pPr>
            <w:r>
              <w:rPr>
                <w:rFonts w:ascii="Calibri" w:hAnsi="Calibri" w:cs="Calibri"/>
                <w:iCs/>
                <w:sz w:val="22"/>
                <w:szCs w:val="22"/>
              </w:rPr>
              <w:t xml:space="preserve">Oprogramowanie: czy w jednym postępowaniu będzie zakup systemu do BI, stworzenia systemu </w:t>
            </w:r>
            <w:proofErr w:type="spellStart"/>
            <w:r>
              <w:rPr>
                <w:rFonts w:ascii="Calibri" w:hAnsi="Calibri" w:cs="Calibri"/>
                <w:iCs/>
                <w:sz w:val="22"/>
                <w:szCs w:val="22"/>
              </w:rPr>
              <w:t>ePUK</w:t>
            </w:r>
            <w:proofErr w:type="spellEnd"/>
            <w:r>
              <w:rPr>
                <w:rFonts w:ascii="Calibri" w:hAnsi="Calibri" w:cs="Calibri"/>
                <w:iCs/>
                <w:sz w:val="22"/>
                <w:szCs w:val="22"/>
              </w:rPr>
              <w:t xml:space="preserve"> i dostawy sprzętu do data </w:t>
            </w:r>
            <w:proofErr w:type="spellStart"/>
            <w:r>
              <w:rPr>
                <w:rFonts w:ascii="Calibri" w:hAnsi="Calibri" w:cs="Calibri"/>
                <w:iCs/>
                <w:sz w:val="22"/>
                <w:szCs w:val="22"/>
              </w:rPr>
              <w:t>center</w:t>
            </w:r>
            <w:proofErr w:type="spellEnd"/>
            <w:r>
              <w:rPr>
                <w:rFonts w:ascii="Calibri" w:hAnsi="Calibri" w:cs="Calibri"/>
                <w:iCs/>
                <w:sz w:val="22"/>
                <w:szCs w:val="22"/>
              </w:rPr>
              <w:t>?</w:t>
            </w:r>
          </w:p>
        </w:tc>
        <w:tc>
          <w:tcPr>
            <w:tcW w:w="1752" w:type="dxa"/>
            <w:tcBorders>
              <w:top w:val="single" w:sz="4" w:space="0" w:color="000000"/>
              <w:left w:val="single" w:sz="4" w:space="0" w:color="000000"/>
              <w:bottom w:val="single" w:sz="4" w:space="0" w:color="000000"/>
              <w:right w:val="single" w:sz="4" w:space="0" w:color="000000"/>
            </w:tcBorders>
          </w:tcPr>
          <w:p w14:paraId="54EB2B69" w14:textId="77777777" w:rsidR="000F01F1" w:rsidRDefault="00507EF5">
            <w:pPr>
              <w:jc w:val="center"/>
              <w:rPr>
                <w:rFonts w:ascii="Calibri" w:hAnsi="Calibri" w:cs="Calibri"/>
                <w:sz w:val="22"/>
                <w:szCs w:val="22"/>
              </w:rPr>
            </w:pPr>
            <w:r>
              <w:rPr>
                <w:rFonts w:ascii="Calibri" w:hAnsi="Calibri" w:cs="Calibri"/>
                <w:sz w:val="22"/>
                <w:szCs w:val="22"/>
              </w:rPr>
              <w:t>Proszę o wyjaśnienie</w:t>
            </w:r>
          </w:p>
        </w:tc>
        <w:tc>
          <w:tcPr>
            <w:tcW w:w="4861" w:type="dxa"/>
            <w:tcBorders>
              <w:top w:val="single" w:sz="4" w:space="0" w:color="000000"/>
              <w:left w:val="single" w:sz="4" w:space="0" w:color="000000"/>
              <w:bottom w:val="single" w:sz="4" w:space="0" w:color="000000"/>
              <w:right w:val="single" w:sz="4" w:space="0" w:color="000000"/>
            </w:tcBorders>
          </w:tcPr>
          <w:p w14:paraId="5CED4817" w14:textId="77777777" w:rsidR="000F01F1" w:rsidRDefault="00507EF5">
            <w:pPr>
              <w:rPr>
                <w:rFonts w:ascii="Calibri" w:hAnsi="Calibri" w:cs="Calibri"/>
                <w:sz w:val="22"/>
                <w:szCs w:val="22"/>
              </w:rPr>
            </w:pPr>
            <w:r>
              <w:rPr>
                <w:rFonts w:ascii="Calibri" w:hAnsi="Calibri" w:cs="Calibri"/>
                <w:sz w:val="22"/>
                <w:szCs w:val="22"/>
              </w:rPr>
              <w:t>Patrz wyjaśnienie do punktu 8.</w:t>
            </w:r>
          </w:p>
        </w:tc>
      </w:tr>
      <w:tr w:rsidR="000F01F1" w14:paraId="1E04A345" w14:textId="77777777">
        <w:tc>
          <w:tcPr>
            <w:tcW w:w="561" w:type="dxa"/>
            <w:tcBorders>
              <w:top w:val="single" w:sz="4" w:space="0" w:color="000000"/>
              <w:left w:val="single" w:sz="4" w:space="0" w:color="000000"/>
              <w:bottom w:val="single" w:sz="4" w:space="0" w:color="000000"/>
              <w:right w:val="single" w:sz="4" w:space="0" w:color="000000"/>
            </w:tcBorders>
          </w:tcPr>
          <w:p w14:paraId="3858ACDA" w14:textId="77777777" w:rsidR="000F01F1" w:rsidRDefault="000F01F1">
            <w:pPr>
              <w:numPr>
                <w:ilvl w:val="0"/>
                <w:numId w:val="1"/>
              </w:numPr>
              <w:spacing w:after="0" w:line="240" w:lineRule="auto"/>
              <w:ind w:left="113" w:firstLine="0"/>
              <w:jc w:val="center"/>
              <w:rPr>
                <w:rFonts w:ascii="Calibri" w:hAnsi="Calibri" w:cs="Calibri"/>
                <w:b/>
                <w:sz w:val="22"/>
                <w:szCs w:val="22"/>
              </w:rPr>
            </w:pPr>
          </w:p>
        </w:tc>
        <w:tc>
          <w:tcPr>
            <w:tcW w:w="1133" w:type="dxa"/>
            <w:tcBorders>
              <w:top w:val="single" w:sz="4" w:space="0" w:color="000000"/>
              <w:left w:val="single" w:sz="4" w:space="0" w:color="000000"/>
              <w:bottom w:val="single" w:sz="4" w:space="0" w:color="000000"/>
              <w:right w:val="single" w:sz="4" w:space="0" w:color="000000"/>
            </w:tcBorders>
          </w:tcPr>
          <w:p w14:paraId="3CEC083A" w14:textId="77777777" w:rsidR="000F01F1" w:rsidRDefault="00507EF5">
            <w:pPr>
              <w:jc w:val="center"/>
              <w:rPr>
                <w:rFonts w:ascii="Calibri" w:hAnsi="Calibri" w:cs="Calibri"/>
                <w:b/>
                <w:sz w:val="22"/>
                <w:szCs w:val="22"/>
              </w:rPr>
            </w:pPr>
            <w:r>
              <w:rPr>
                <w:rFonts w:ascii="Calibri" w:hAnsi="Calibri" w:cs="Calibri"/>
                <w:b/>
                <w:sz w:val="22"/>
                <w:szCs w:val="22"/>
              </w:rPr>
              <w:t>RA IT</w:t>
            </w:r>
          </w:p>
        </w:tc>
        <w:tc>
          <w:tcPr>
            <w:tcW w:w="1845" w:type="dxa"/>
            <w:tcBorders>
              <w:top w:val="single" w:sz="4" w:space="0" w:color="000000"/>
              <w:left w:val="single" w:sz="4" w:space="0" w:color="000000"/>
              <w:bottom w:val="single" w:sz="4" w:space="0" w:color="000000"/>
              <w:right w:val="single" w:sz="4" w:space="0" w:color="000000"/>
            </w:tcBorders>
          </w:tcPr>
          <w:p w14:paraId="46047B87" w14:textId="77777777" w:rsidR="000F01F1" w:rsidRDefault="00507EF5">
            <w:pPr>
              <w:jc w:val="center"/>
              <w:rPr>
                <w:rFonts w:ascii="Calibri" w:hAnsi="Calibri" w:cs="Calibri"/>
                <w:bCs/>
                <w:sz w:val="22"/>
                <w:szCs w:val="22"/>
              </w:rPr>
            </w:pPr>
            <w:r>
              <w:rPr>
                <w:rFonts w:ascii="Calibri" w:hAnsi="Calibri" w:cs="Calibri"/>
                <w:bCs/>
                <w:sz w:val="22"/>
                <w:szCs w:val="22"/>
              </w:rPr>
              <w:t>4.2 Wykaz poszczególnych pozycji kosztowych Infrastruktura</w:t>
            </w:r>
          </w:p>
        </w:tc>
        <w:tc>
          <w:tcPr>
            <w:tcW w:w="5407" w:type="dxa"/>
            <w:tcBorders>
              <w:top w:val="single" w:sz="4" w:space="0" w:color="000000"/>
              <w:left w:val="single" w:sz="4" w:space="0" w:color="000000"/>
              <w:bottom w:val="single" w:sz="4" w:space="0" w:color="000000"/>
              <w:right w:val="single" w:sz="4" w:space="0" w:color="000000"/>
            </w:tcBorders>
          </w:tcPr>
          <w:p w14:paraId="3503B772" w14:textId="77777777" w:rsidR="000F01F1" w:rsidRDefault="00507EF5">
            <w:pPr>
              <w:rPr>
                <w:rFonts w:ascii="Calibri" w:hAnsi="Calibri" w:cs="Calibri"/>
                <w:iCs/>
                <w:sz w:val="22"/>
                <w:szCs w:val="22"/>
              </w:rPr>
            </w:pPr>
            <w:r>
              <w:rPr>
                <w:rFonts w:ascii="Calibri" w:hAnsi="Calibri" w:cs="Calibri"/>
                <w:iCs/>
                <w:sz w:val="22"/>
                <w:szCs w:val="22"/>
              </w:rPr>
              <w:t xml:space="preserve">Czy była rozważana wynajęcie data </w:t>
            </w:r>
            <w:proofErr w:type="spellStart"/>
            <w:r>
              <w:rPr>
                <w:rFonts w:ascii="Calibri" w:hAnsi="Calibri" w:cs="Calibri"/>
                <w:iCs/>
                <w:sz w:val="22"/>
                <w:szCs w:val="22"/>
              </w:rPr>
              <w:t>center</w:t>
            </w:r>
            <w:proofErr w:type="spellEnd"/>
            <w:r>
              <w:rPr>
                <w:rFonts w:ascii="Calibri" w:hAnsi="Calibri" w:cs="Calibri"/>
                <w:iCs/>
                <w:sz w:val="22"/>
                <w:szCs w:val="22"/>
              </w:rPr>
              <w:t xml:space="preserve"> z zasobów Państwowych? Prosimy o uzasadnienie budowy własnego data </w:t>
            </w:r>
            <w:proofErr w:type="spellStart"/>
            <w:r>
              <w:rPr>
                <w:rFonts w:ascii="Calibri" w:hAnsi="Calibri" w:cs="Calibri"/>
                <w:iCs/>
                <w:sz w:val="22"/>
                <w:szCs w:val="22"/>
              </w:rPr>
              <w:t>center</w:t>
            </w:r>
            <w:proofErr w:type="spellEnd"/>
            <w:r>
              <w:rPr>
                <w:rFonts w:ascii="Calibri" w:hAnsi="Calibri" w:cs="Calibri"/>
                <w:iCs/>
                <w:sz w:val="22"/>
                <w:szCs w:val="22"/>
              </w:rPr>
              <w:t>.</w:t>
            </w:r>
          </w:p>
        </w:tc>
        <w:tc>
          <w:tcPr>
            <w:tcW w:w="1752" w:type="dxa"/>
            <w:tcBorders>
              <w:top w:val="single" w:sz="4" w:space="0" w:color="000000"/>
              <w:left w:val="single" w:sz="4" w:space="0" w:color="000000"/>
              <w:bottom w:val="single" w:sz="4" w:space="0" w:color="000000"/>
              <w:right w:val="single" w:sz="4" w:space="0" w:color="000000"/>
            </w:tcBorders>
          </w:tcPr>
          <w:p w14:paraId="6AA15C3D" w14:textId="77777777" w:rsidR="000F01F1" w:rsidRDefault="00507EF5">
            <w:pPr>
              <w:jc w:val="center"/>
              <w:rPr>
                <w:rFonts w:ascii="Calibri" w:hAnsi="Calibri" w:cs="Calibri"/>
                <w:sz w:val="22"/>
                <w:szCs w:val="22"/>
              </w:rPr>
            </w:pPr>
            <w:r>
              <w:rPr>
                <w:rFonts w:ascii="Calibri" w:hAnsi="Calibri" w:cs="Calibri"/>
                <w:sz w:val="22"/>
                <w:szCs w:val="22"/>
              </w:rPr>
              <w:t>Proszę o wyjaśnienie</w:t>
            </w:r>
          </w:p>
        </w:tc>
        <w:tc>
          <w:tcPr>
            <w:tcW w:w="4861" w:type="dxa"/>
            <w:tcBorders>
              <w:top w:val="single" w:sz="4" w:space="0" w:color="000000"/>
              <w:left w:val="single" w:sz="4" w:space="0" w:color="000000"/>
              <w:bottom w:val="single" w:sz="4" w:space="0" w:color="000000"/>
              <w:right w:val="single" w:sz="4" w:space="0" w:color="000000"/>
            </w:tcBorders>
          </w:tcPr>
          <w:p w14:paraId="4B5C8978" w14:textId="0A83251C" w:rsidR="000F01F1" w:rsidRDefault="00507EF5">
            <w:pPr>
              <w:rPr>
                <w:rFonts w:ascii="Calibri" w:hAnsi="Calibri" w:cs="Calibri"/>
                <w:sz w:val="22"/>
                <w:szCs w:val="22"/>
              </w:rPr>
            </w:pPr>
            <w:r>
              <w:rPr>
                <w:rFonts w:ascii="Calibri" w:hAnsi="Calibri" w:cs="Calibri"/>
                <w:sz w:val="22"/>
                <w:szCs w:val="22"/>
              </w:rPr>
              <w:t xml:space="preserve">W trakcie prac przygotowawczych projektu na początku 2025 roku (opracowanie opisu założeń projektu oraz studium wykonalności) rozważano wykorzystanie Rządowej Chmury Obliczeniowej. Na moment sporządzania dokumentacji aplikacyjnej rozwiązanie </w:t>
            </w:r>
            <w:r w:rsidR="00750EBE">
              <w:rPr>
                <w:rFonts w:ascii="Calibri" w:hAnsi="Calibri" w:cs="Calibri"/>
                <w:sz w:val="22"/>
                <w:szCs w:val="22"/>
              </w:rPr>
              <w:t xml:space="preserve">to </w:t>
            </w:r>
            <w:r>
              <w:rPr>
                <w:rFonts w:ascii="Calibri" w:hAnsi="Calibri" w:cs="Calibri"/>
                <w:sz w:val="22"/>
                <w:szCs w:val="22"/>
              </w:rPr>
              <w:t>nie realizowało potrzeb MSZ.</w:t>
            </w:r>
          </w:p>
          <w:p w14:paraId="38129D5B" w14:textId="77777777" w:rsidR="000F01F1" w:rsidRDefault="00507EF5">
            <w:pPr>
              <w:rPr>
                <w:rFonts w:ascii="Calibri" w:hAnsi="Calibri" w:cs="Calibri"/>
                <w:sz w:val="22"/>
                <w:szCs w:val="22"/>
              </w:rPr>
            </w:pPr>
            <w:r>
              <w:rPr>
                <w:rFonts w:ascii="Calibri" w:hAnsi="Calibri" w:cs="Calibri"/>
                <w:sz w:val="22"/>
                <w:szCs w:val="22"/>
              </w:rPr>
              <w:t>Oferowane w ramach RCHO zasoby udostępniane są w modelu IaaS. IaaS jako usługa stanowi koszt kwalifikowany wyłącznie do momentu zakończenia projektu. W okresie trwałości koszty te nie byłyby objęte dofinansowaniem i  MSZ musiałby pokrywać z własnego budżetu. Rozwiązanie takie jest nieefektywne z punktu widzenia Beneficjanta.</w:t>
            </w:r>
          </w:p>
          <w:p w14:paraId="3D2B80F4" w14:textId="212E08DE" w:rsidR="000F01F1" w:rsidRDefault="00507EF5">
            <w:pPr>
              <w:rPr>
                <w:rFonts w:ascii="Calibri" w:hAnsi="Calibri" w:cs="Calibri"/>
                <w:sz w:val="22"/>
                <w:szCs w:val="22"/>
              </w:rPr>
            </w:pPr>
            <w:r>
              <w:rPr>
                <w:rFonts w:ascii="Calibri" w:hAnsi="Calibri" w:cs="Calibri"/>
                <w:sz w:val="22"/>
                <w:szCs w:val="22"/>
              </w:rPr>
              <w:lastRenderedPageBreak/>
              <w:t xml:space="preserve">Uzasadnieniem budowy własnego data </w:t>
            </w:r>
            <w:proofErr w:type="spellStart"/>
            <w:r>
              <w:rPr>
                <w:rFonts w:ascii="Calibri" w:hAnsi="Calibri" w:cs="Calibri"/>
                <w:sz w:val="22"/>
                <w:szCs w:val="22"/>
              </w:rPr>
              <w:t>center</w:t>
            </w:r>
            <w:proofErr w:type="spellEnd"/>
            <w:r>
              <w:rPr>
                <w:rFonts w:ascii="Calibri" w:hAnsi="Calibri" w:cs="Calibri"/>
                <w:sz w:val="22"/>
                <w:szCs w:val="22"/>
              </w:rPr>
              <w:t xml:space="preserve"> są wyniki analizy wariantów, gdzie porównano koszty oraz wskaźniki efektywności ekonomicznej wariantu alternatywnego „chmurowego” (ENPV około 5 527 tys</w:t>
            </w:r>
            <w:r w:rsidR="00750EBE">
              <w:rPr>
                <w:rFonts w:ascii="Calibri" w:hAnsi="Calibri" w:cs="Calibri"/>
                <w:sz w:val="22"/>
                <w:szCs w:val="22"/>
              </w:rPr>
              <w:t>.</w:t>
            </w:r>
            <w:r>
              <w:rPr>
                <w:rFonts w:ascii="Calibri" w:hAnsi="Calibri" w:cs="Calibri"/>
                <w:sz w:val="22"/>
                <w:szCs w:val="22"/>
              </w:rPr>
              <w:t xml:space="preserve"> zł, stopa dyskontowa 3,0%, IRR 3,5%) względem wariantu rekomendowanego (ENPV około 67 882 tys</w:t>
            </w:r>
            <w:r w:rsidR="00750EBE">
              <w:rPr>
                <w:rFonts w:ascii="Calibri" w:hAnsi="Calibri" w:cs="Calibri"/>
                <w:sz w:val="22"/>
                <w:szCs w:val="22"/>
              </w:rPr>
              <w:t>.</w:t>
            </w:r>
            <w:r>
              <w:rPr>
                <w:rFonts w:ascii="Calibri" w:hAnsi="Calibri" w:cs="Calibri"/>
                <w:sz w:val="22"/>
                <w:szCs w:val="22"/>
              </w:rPr>
              <w:t xml:space="preserve"> zł, stopa dyskontowa 3,0%, IRR 9,4%).</w:t>
            </w:r>
          </w:p>
          <w:p w14:paraId="48FEE2C3" w14:textId="77777777" w:rsidR="000F01F1" w:rsidRDefault="00507EF5">
            <w:pPr>
              <w:rPr>
                <w:rFonts w:ascii="Calibri" w:hAnsi="Calibri" w:cs="Calibri"/>
                <w:sz w:val="22"/>
                <w:szCs w:val="22"/>
              </w:rPr>
            </w:pPr>
            <w:r>
              <w:rPr>
                <w:rFonts w:ascii="Calibri" w:hAnsi="Calibri" w:cs="Calibri"/>
                <w:sz w:val="22"/>
                <w:szCs w:val="22"/>
              </w:rPr>
              <w:t>Zasadniczo w Studium Wykonalności poddano ocenie wariant SaaS oparty o komercyjnych dostawców zewnętrznych. Zatem poza czynnikami ekonomicznymi na wybór wpływ miały inne aspekty, w tym dwa kluczowe:</w:t>
            </w:r>
          </w:p>
          <w:p w14:paraId="754E2FAC" w14:textId="3A691B97" w:rsidR="000F01F1" w:rsidRDefault="00507EF5">
            <w:pPr>
              <w:pStyle w:val="Nagwek2"/>
              <w:spacing w:before="0" w:after="160"/>
              <w:rPr>
                <w:rFonts w:ascii="Calibri" w:hAnsi="Calibri" w:cs="Calibri"/>
                <w:sz w:val="22"/>
                <w:szCs w:val="22"/>
              </w:rPr>
            </w:pPr>
            <w:r>
              <w:rPr>
                <w:rFonts w:ascii="Calibri" w:eastAsiaTheme="minorHAnsi" w:hAnsi="Calibri" w:cs="Calibri"/>
                <w:color w:val="auto"/>
                <w:sz w:val="22"/>
                <w:szCs w:val="22"/>
              </w:rPr>
              <w:lastRenderedPageBreak/>
              <w:t xml:space="preserve">- Bezpieczeństwo </w:t>
            </w:r>
            <w:r>
              <w:rPr>
                <w:rFonts w:ascii="Calibri" w:eastAsiaTheme="minorHAnsi" w:hAnsi="Calibri" w:cs="Calibri"/>
                <w:color w:val="000000"/>
                <w:sz w:val="22"/>
                <w:szCs w:val="22"/>
              </w:rPr>
              <w:t xml:space="preserve">danych: </w:t>
            </w:r>
            <w:r>
              <w:rPr>
                <w:rFonts w:ascii="Calibri" w:hAnsi="Calibri" w:cs="Calibri"/>
                <w:color w:val="000000"/>
                <w:sz w:val="22"/>
                <w:szCs w:val="22"/>
              </w:rPr>
              <w:t>MSZ przetwarza dane o najwyższym stopniu wrażliwości. Model SaaS oznacza potencjalną utratę pełnej kontroli nad danymi (o ile można umownie zagwarantować lokalizację środowiska produkcyjnego, żaden dostawca nie daje gwarancji lokalizacji kopii bezpieczeństwa). Dodatkowo, w sytuacjach kryzysowych lub konfliktów międzynarodowych, infrastruktura on-</w:t>
            </w:r>
            <w:proofErr w:type="spellStart"/>
            <w:r>
              <w:rPr>
                <w:rFonts w:ascii="Calibri" w:hAnsi="Calibri" w:cs="Calibri"/>
                <w:color w:val="000000"/>
                <w:sz w:val="22"/>
                <w:szCs w:val="22"/>
              </w:rPr>
              <w:t>premise</w:t>
            </w:r>
            <w:proofErr w:type="spellEnd"/>
            <w:r>
              <w:rPr>
                <w:rFonts w:ascii="Calibri" w:hAnsi="Calibri" w:cs="Calibri"/>
                <w:color w:val="000000"/>
                <w:sz w:val="22"/>
                <w:szCs w:val="22"/>
              </w:rPr>
              <w:t xml:space="preserve"> gwarantuje ciągłość działania bez ryzyka odcięcia dostępu przez zagranicznego dostawcę w wyniku sankcji, presji politycznej lub działań hybrydowych.</w:t>
            </w:r>
          </w:p>
          <w:p w14:paraId="5387DBB5" w14:textId="77777777" w:rsidR="000F01F1" w:rsidRDefault="00507EF5">
            <w:pPr>
              <w:pStyle w:val="Nagwek2"/>
              <w:spacing w:before="0" w:after="160"/>
              <w:rPr>
                <w:rFonts w:ascii="Calibri" w:hAnsi="Calibri" w:cs="Calibri"/>
                <w:color w:val="000000"/>
                <w:sz w:val="22"/>
                <w:szCs w:val="22"/>
              </w:rPr>
            </w:pPr>
            <w:r>
              <w:rPr>
                <w:rFonts w:ascii="Calibri" w:eastAsiaTheme="minorHAnsi" w:hAnsi="Calibri" w:cs="Calibri"/>
                <w:color w:val="000000"/>
                <w:sz w:val="22"/>
                <w:szCs w:val="22"/>
              </w:rPr>
              <w:t>- Suwerenność technologiczna i kontrola: w</w:t>
            </w:r>
            <w:r>
              <w:rPr>
                <w:rFonts w:ascii="Calibri" w:hAnsi="Calibri" w:cs="Calibri"/>
                <w:color w:val="000000"/>
                <w:sz w:val="22"/>
                <w:szCs w:val="22"/>
              </w:rPr>
              <w:t>łasna infrastruktura zapewnia większą niezależność od zagranicznych dostawców usług i pełną kontrolę nad całym cyklem życia danych: od tworzenia, przez przetwarzanie, po nieodwracalne usuwanie. Model on-</w:t>
            </w:r>
            <w:proofErr w:type="spellStart"/>
            <w:r>
              <w:rPr>
                <w:rFonts w:ascii="Calibri" w:hAnsi="Calibri" w:cs="Calibri"/>
                <w:color w:val="000000"/>
                <w:sz w:val="22"/>
                <w:szCs w:val="22"/>
              </w:rPr>
              <w:t>premise</w:t>
            </w:r>
            <w:proofErr w:type="spellEnd"/>
            <w:r>
              <w:rPr>
                <w:rFonts w:ascii="Calibri" w:hAnsi="Calibri" w:cs="Calibri"/>
                <w:color w:val="000000"/>
                <w:sz w:val="22"/>
                <w:szCs w:val="22"/>
              </w:rPr>
              <w:t xml:space="preserve"> umożliwia integrację z systemami stanowiącymi infrastrukturą krytyczną państwa bez ekspozycji wrażliwych interfejsów stronie trzeciej.</w:t>
            </w:r>
          </w:p>
        </w:tc>
      </w:tr>
      <w:tr w:rsidR="000F01F1" w14:paraId="0D9FA025" w14:textId="77777777">
        <w:tc>
          <w:tcPr>
            <w:tcW w:w="561" w:type="dxa"/>
            <w:tcBorders>
              <w:top w:val="single" w:sz="4" w:space="0" w:color="000000"/>
              <w:left w:val="single" w:sz="4" w:space="0" w:color="000000"/>
              <w:bottom w:val="single" w:sz="4" w:space="0" w:color="000000"/>
              <w:right w:val="single" w:sz="4" w:space="0" w:color="000000"/>
            </w:tcBorders>
          </w:tcPr>
          <w:p w14:paraId="32F852DA" w14:textId="77777777" w:rsidR="000F01F1" w:rsidRDefault="000F01F1">
            <w:pPr>
              <w:numPr>
                <w:ilvl w:val="0"/>
                <w:numId w:val="1"/>
              </w:numPr>
              <w:spacing w:after="0" w:line="240" w:lineRule="auto"/>
              <w:ind w:left="113" w:firstLine="0"/>
              <w:jc w:val="center"/>
              <w:rPr>
                <w:rFonts w:ascii="Calibri" w:hAnsi="Calibri" w:cs="Calibri"/>
                <w:b/>
                <w:sz w:val="22"/>
                <w:szCs w:val="22"/>
              </w:rPr>
            </w:pPr>
          </w:p>
        </w:tc>
        <w:tc>
          <w:tcPr>
            <w:tcW w:w="1133" w:type="dxa"/>
            <w:tcBorders>
              <w:top w:val="single" w:sz="4" w:space="0" w:color="000000"/>
              <w:left w:val="single" w:sz="4" w:space="0" w:color="000000"/>
              <w:bottom w:val="single" w:sz="4" w:space="0" w:color="000000"/>
              <w:right w:val="single" w:sz="4" w:space="0" w:color="000000"/>
            </w:tcBorders>
          </w:tcPr>
          <w:p w14:paraId="7B8F454A" w14:textId="77777777" w:rsidR="000F01F1" w:rsidRDefault="00507EF5">
            <w:pPr>
              <w:jc w:val="center"/>
              <w:rPr>
                <w:rFonts w:ascii="Calibri" w:hAnsi="Calibri" w:cs="Calibri"/>
                <w:b/>
                <w:sz w:val="22"/>
                <w:szCs w:val="22"/>
              </w:rPr>
            </w:pPr>
            <w:r>
              <w:rPr>
                <w:rFonts w:ascii="Calibri" w:hAnsi="Calibri" w:cs="Calibri"/>
                <w:b/>
                <w:sz w:val="22"/>
                <w:szCs w:val="22"/>
              </w:rPr>
              <w:t>RA IT</w:t>
            </w:r>
          </w:p>
        </w:tc>
        <w:tc>
          <w:tcPr>
            <w:tcW w:w="1845" w:type="dxa"/>
            <w:tcBorders>
              <w:top w:val="single" w:sz="4" w:space="0" w:color="000000"/>
              <w:left w:val="single" w:sz="4" w:space="0" w:color="000000"/>
              <w:bottom w:val="single" w:sz="4" w:space="0" w:color="000000"/>
              <w:right w:val="single" w:sz="4" w:space="0" w:color="000000"/>
            </w:tcBorders>
          </w:tcPr>
          <w:p w14:paraId="42622EC1" w14:textId="77777777" w:rsidR="000F01F1" w:rsidRDefault="00507EF5">
            <w:pPr>
              <w:jc w:val="center"/>
              <w:rPr>
                <w:rFonts w:ascii="Calibri" w:hAnsi="Calibri" w:cs="Calibri"/>
                <w:bCs/>
                <w:sz w:val="22"/>
                <w:szCs w:val="22"/>
              </w:rPr>
            </w:pPr>
            <w:r>
              <w:rPr>
                <w:rFonts w:ascii="Calibri" w:hAnsi="Calibri" w:cs="Calibri"/>
                <w:bCs/>
                <w:sz w:val="22"/>
                <w:szCs w:val="22"/>
              </w:rPr>
              <w:t>4.2 Wykaz poszczególnych pozycji kosztowych Bezpieczeństwo</w:t>
            </w:r>
          </w:p>
        </w:tc>
        <w:tc>
          <w:tcPr>
            <w:tcW w:w="5407" w:type="dxa"/>
            <w:tcBorders>
              <w:top w:val="single" w:sz="4" w:space="0" w:color="000000"/>
              <w:left w:val="single" w:sz="4" w:space="0" w:color="000000"/>
              <w:bottom w:val="single" w:sz="4" w:space="0" w:color="000000"/>
              <w:right w:val="single" w:sz="4" w:space="0" w:color="000000"/>
            </w:tcBorders>
          </w:tcPr>
          <w:p w14:paraId="4BA87A27" w14:textId="77777777" w:rsidR="000F01F1" w:rsidRDefault="00507EF5">
            <w:pPr>
              <w:rPr>
                <w:rFonts w:ascii="Calibri" w:hAnsi="Calibri" w:cs="Calibri"/>
                <w:iCs/>
                <w:sz w:val="22"/>
                <w:szCs w:val="22"/>
              </w:rPr>
            </w:pPr>
            <w:r>
              <w:rPr>
                <w:rFonts w:ascii="Calibri" w:hAnsi="Calibri" w:cs="Calibri"/>
                <w:iCs/>
                <w:sz w:val="22"/>
                <w:szCs w:val="22"/>
              </w:rPr>
              <w:t>Proszę o rozważenie zlecenia wykonania testów bezpieczeństwa ABW lub innemu, niezależnemu od Wykonawcy systemu.</w:t>
            </w:r>
          </w:p>
        </w:tc>
        <w:tc>
          <w:tcPr>
            <w:tcW w:w="1752" w:type="dxa"/>
            <w:tcBorders>
              <w:top w:val="single" w:sz="4" w:space="0" w:color="000000"/>
              <w:left w:val="single" w:sz="4" w:space="0" w:color="000000"/>
              <w:bottom w:val="single" w:sz="4" w:space="0" w:color="000000"/>
              <w:right w:val="single" w:sz="4" w:space="0" w:color="000000"/>
            </w:tcBorders>
          </w:tcPr>
          <w:p w14:paraId="1963146B" w14:textId="77777777" w:rsidR="000F01F1" w:rsidRDefault="00507EF5">
            <w:pPr>
              <w:rPr>
                <w:rFonts w:ascii="Calibri" w:hAnsi="Calibri" w:cs="Calibri"/>
                <w:sz w:val="22"/>
                <w:szCs w:val="22"/>
              </w:rPr>
            </w:pPr>
            <w:r>
              <w:rPr>
                <w:rFonts w:ascii="Calibri" w:hAnsi="Calibri" w:cs="Calibri"/>
                <w:sz w:val="22"/>
                <w:szCs w:val="22"/>
              </w:rPr>
              <w:t>Proszę o analizę i korektę opisu założeń</w:t>
            </w:r>
          </w:p>
        </w:tc>
        <w:tc>
          <w:tcPr>
            <w:tcW w:w="4861" w:type="dxa"/>
            <w:tcBorders>
              <w:top w:val="single" w:sz="4" w:space="0" w:color="000000"/>
              <w:left w:val="single" w:sz="4" w:space="0" w:color="000000"/>
              <w:bottom w:val="single" w:sz="4" w:space="0" w:color="000000"/>
              <w:right w:val="single" w:sz="4" w:space="0" w:color="000000"/>
            </w:tcBorders>
          </w:tcPr>
          <w:p w14:paraId="09131614" w14:textId="77777777" w:rsidR="000F01F1" w:rsidRDefault="00507EF5">
            <w:pPr>
              <w:rPr>
                <w:rFonts w:ascii="Calibri" w:hAnsi="Calibri" w:cs="Calibri"/>
                <w:sz w:val="22"/>
                <w:szCs w:val="22"/>
              </w:rPr>
            </w:pPr>
            <w:r>
              <w:rPr>
                <w:rFonts w:ascii="Calibri" w:hAnsi="Calibri" w:cs="Calibri"/>
                <w:sz w:val="22"/>
                <w:szCs w:val="22"/>
              </w:rPr>
              <w:t>W projekcie zakładane jest wykonanie audytu bezpieczeństwa systemu (w tym testów bezpieczeństwa), które zostanie zlecone podmiotowi trzeciemu, niezależnemu od wykonawcy systemu, w tym dopuszcza się skorzystanie z oferty/wsparcia agencji rządowych/państwowych.</w:t>
            </w:r>
          </w:p>
          <w:p w14:paraId="16126609" w14:textId="77777777" w:rsidR="00447986" w:rsidRDefault="00447986">
            <w:pPr>
              <w:rPr>
                <w:rFonts w:ascii="Calibri" w:hAnsi="Calibri" w:cs="Calibri"/>
                <w:sz w:val="22"/>
                <w:szCs w:val="22"/>
              </w:rPr>
            </w:pPr>
          </w:p>
          <w:p w14:paraId="3C42C280" w14:textId="3B211954" w:rsidR="000F01F1" w:rsidRPr="003B44A3" w:rsidRDefault="00507EF5">
            <w:pPr>
              <w:rPr>
                <w:rFonts w:ascii="Calibri" w:hAnsi="Calibri" w:cs="Calibri"/>
                <w:sz w:val="22"/>
                <w:szCs w:val="22"/>
                <w:highlight w:val="yellow"/>
              </w:rPr>
            </w:pPr>
            <w:r w:rsidRPr="003B44A3">
              <w:rPr>
                <w:rFonts w:ascii="Calibri" w:hAnsi="Calibri" w:cs="Calibri"/>
                <w:sz w:val="22"/>
                <w:szCs w:val="22"/>
                <w:highlight w:val="yellow"/>
              </w:rPr>
              <w:t>Dokonano zmian w pkt 4.2 opisu założeń – pozycja „Bezpieczeństwo</w:t>
            </w:r>
            <w:r w:rsidR="007004A3" w:rsidRPr="003B44A3">
              <w:rPr>
                <w:rFonts w:ascii="Calibri" w:hAnsi="Calibri" w:cs="Calibri"/>
                <w:sz w:val="22"/>
                <w:szCs w:val="22"/>
                <w:highlight w:val="yellow"/>
              </w:rPr>
              <w:t>”</w:t>
            </w:r>
            <w:r w:rsidRPr="003B44A3">
              <w:rPr>
                <w:rFonts w:ascii="Calibri" w:hAnsi="Calibri" w:cs="Calibri"/>
                <w:sz w:val="22"/>
                <w:szCs w:val="22"/>
                <w:highlight w:val="yellow"/>
              </w:rPr>
              <w:t xml:space="preserve"> – modyfikując zapis dotyczący audytu bezpieczeństwa:</w:t>
            </w:r>
          </w:p>
          <w:p w14:paraId="682C7C0B" w14:textId="77777777" w:rsidR="000F01F1" w:rsidRDefault="00507EF5">
            <w:pPr>
              <w:rPr>
                <w:rFonts w:ascii="Calibri" w:hAnsi="Calibri" w:cs="Calibri"/>
                <w:sz w:val="22"/>
                <w:szCs w:val="22"/>
              </w:rPr>
            </w:pPr>
            <w:r w:rsidRPr="003B44A3">
              <w:rPr>
                <w:rFonts w:ascii="Calibri" w:hAnsi="Calibri" w:cs="Calibri"/>
                <w:sz w:val="22"/>
                <w:szCs w:val="22"/>
                <w:highlight w:val="yellow"/>
              </w:rPr>
              <w:t>„Audyt bezpieczeństwa systemu, w tym testy penetracyjne (raport z testów bezpieczeństwa), wykonany przez podmiot trzeci, niezależny od wykonawcy systemu.”</w:t>
            </w:r>
          </w:p>
        </w:tc>
      </w:tr>
      <w:tr w:rsidR="000F01F1" w14:paraId="06D3A303" w14:textId="77777777">
        <w:tc>
          <w:tcPr>
            <w:tcW w:w="561" w:type="dxa"/>
            <w:tcBorders>
              <w:top w:val="single" w:sz="4" w:space="0" w:color="000000"/>
              <w:left w:val="single" w:sz="4" w:space="0" w:color="000000"/>
              <w:bottom w:val="single" w:sz="4" w:space="0" w:color="000000"/>
              <w:right w:val="single" w:sz="4" w:space="0" w:color="000000"/>
            </w:tcBorders>
          </w:tcPr>
          <w:p w14:paraId="3FCF5F5E" w14:textId="77777777" w:rsidR="000F01F1" w:rsidRDefault="000F01F1">
            <w:pPr>
              <w:numPr>
                <w:ilvl w:val="0"/>
                <w:numId w:val="1"/>
              </w:numPr>
              <w:spacing w:after="0" w:line="240" w:lineRule="auto"/>
              <w:ind w:left="113" w:firstLine="0"/>
              <w:jc w:val="center"/>
              <w:rPr>
                <w:rFonts w:ascii="Calibri" w:hAnsi="Calibri" w:cs="Calibri"/>
                <w:b/>
                <w:sz w:val="22"/>
                <w:szCs w:val="22"/>
              </w:rPr>
            </w:pPr>
          </w:p>
        </w:tc>
        <w:tc>
          <w:tcPr>
            <w:tcW w:w="1133" w:type="dxa"/>
            <w:tcBorders>
              <w:top w:val="single" w:sz="4" w:space="0" w:color="000000"/>
              <w:left w:val="single" w:sz="4" w:space="0" w:color="000000"/>
              <w:bottom w:val="single" w:sz="4" w:space="0" w:color="000000"/>
              <w:right w:val="single" w:sz="4" w:space="0" w:color="000000"/>
            </w:tcBorders>
          </w:tcPr>
          <w:p w14:paraId="118A6E45" w14:textId="77777777" w:rsidR="000F01F1" w:rsidRDefault="00507EF5">
            <w:pPr>
              <w:jc w:val="center"/>
              <w:rPr>
                <w:rFonts w:ascii="Calibri" w:hAnsi="Calibri" w:cs="Calibri"/>
                <w:b/>
                <w:sz w:val="22"/>
                <w:szCs w:val="22"/>
              </w:rPr>
            </w:pPr>
            <w:r>
              <w:rPr>
                <w:rFonts w:ascii="Calibri" w:hAnsi="Calibri" w:cs="Calibri"/>
                <w:b/>
                <w:sz w:val="22"/>
                <w:szCs w:val="22"/>
              </w:rPr>
              <w:t>RA IT</w:t>
            </w:r>
          </w:p>
        </w:tc>
        <w:tc>
          <w:tcPr>
            <w:tcW w:w="1845" w:type="dxa"/>
            <w:tcBorders>
              <w:top w:val="single" w:sz="4" w:space="0" w:color="000000"/>
              <w:left w:val="single" w:sz="4" w:space="0" w:color="000000"/>
              <w:bottom w:val="single" w:sz="4" w:space="0" w:color="000000"/>
              <w:right w:val="single" w:sz="4" w:space="0" w:color="000000"/>
            </w:tcBorders>
          </w:tcPr>
          <w:p w14:paraId="06B50DBC" w14:textId="77777777" w:rsidR="000F01F1" w:rsidRDefault="00507EF5">
            <w:pPr>
              <w:jc w:val="center"/>
              <w:rPr>
                <w:rFonts w:ascii="Calibri" w:hAnsi="Calibri" w:cs="Calibri"/>
                <w:bCs/>
                <w:sz w:val="22"/>
                <w:szCs w:val="22"/>
              </w:rPr>
            </w:pPr>
            <w:r>
              <w:rPr>
                <w:rFonts w:ascii="Calibri" w:hAnsi="Calibri" w:cs="Calibri"/>
                <w:bCs/>
                <w:sz w:val="22"/>
                <w:szCs w:val="22"/>
              </w:rPr>
              <w:t>4.2 Wykaz poszczególnych pozycji kosztowych Szkolenia</w:t>
            </w:r>
          </w:p>
        </w:tc>
        <w:tc>
          <w:tcPr>
            <w:tcW w:w="5407" w:type="dxa"/>
            <w:tcBorders>
              <w:top w:val="single" w:sz="4" w:space="0" w:color="000000"/>
              <w:left w:val="single" w:sz="4" w:space="0" w:color="000000"/>
              <w:bottom w:val="single" w:sz="4" w:space="0" w:color="000000"/>
              <w:right w:val="single" w:sz="4" w:space="0" w:color="000000"/>
            </w:tcBorders>
          </w:tcPr>
          <w:p w14:paraId="6ADC8F67" w14:textId="77777777" w:rsidR="000F01F1" w:rsidRDefault="00507EF5">
            <w:pPr>
              <w:rPr>
                <w:rFonts w:ascii="Calibri" w:hAnsi="Calibri" w:cs="Calibri"/>
                <w:iCs/>
                <w:sz w:val="22"/>
                <w:szCs w:val="22"/>
              </w:rPr>
            </w:pPr>
            <w:r>
              <w:rPr>
                <w:rFonts w:ascii="Calibri" w:hAnsi="Calibri" w:cs="Calibri"/>
                <w:iCs/>
                <w:sz w:val="22"/>
                <w:szCs w:val="22"/>
              </w:rPr>
              <w:t>Proszę o potwierdzenie że szkolenia dla 16 administratorów będą kosztowały ok 4,2 mln zł.</w:t>
            </w:r>
          </w:p>
        </w:tc>
        <w:tc>
          <w:tcPr>
            <w:tcW w:w="1752" w:type="dxa"/>
            <w:tcBorders>
              <w:top w:val="single" w:sz="4" w:space="0" w:color="000000"/>
              <w:left w:val="single" w:sz="4" w:space="0" w:color="000000"/>
              <w:bottom w:val="single" w:sz="4" w:space="0" w:color="000000"/>
              <w:right w:val="single" w:sz="4" w:space="0" w:color="000000"/>
            </w:tcBorders>
          </w:tcPr>
          <w:p w14:paraId="2A7665C5" w14:textId="77777777" w:rsidR="000F01F1" w:rsidRDefault="00507EF5">
            <w:pPr>
              <w:jc w:val="center"/>
              <w:rPr>
                <w:rFonts w:ascii="Calibri" w:hAnsi="Calibri" w:cs="Calibri"/>
                <w:sz w:val="22"/>
                <w:szCs w:val="22"/>
              </w:rPr>
            </w:pPr>
            <w:r>
              <w:rPr>
                <w:rFonts w:ascii="Calibri" w:hAnsi="Calibri" w:cs="Calibri"/>
                <w:sz w:val="22"/>
                <w:szCs w:val="22"/>
              </w:rPr>
              <w:t>Proszę o sprawdzenie</w:t>
            </w:r>
          </w:p>
        </w:tc>
        <w:tc>
          <w:tcPr>
            <w:tcW w:w="4861" w:type="dxa"/>
            <w:tcBorders>
              <w:top w:val="single" w:sz="4" w:space="0" w:color="000000"/>
              <w:left w:val="single" w:sz="4" w:space="0" w:color="000000"/>
              <w:bottom w:val="single" w:sz="4" w:space="0" w:color="000000"/>
              <w:right w:val="single" w:sz="4" w:space="0" w:color="000000"/>
            </w:tcBorders>
          </w:tcPr>
          <w:p w14:paraId="1B2AFA14" w14:textId="77777777" w:rsidR="000F01F1" w:rsidRDefault="00507EF5">
            <w:pPr>
              <w:rPr>
                <w:rFonts w:ascii="Calibri" w:hAnsi="Calibri" w:cs="Calibri"/>
                <w:sz w:val="22"/>
                <w:szCs w:val="22"/>
              </w:rPr>
            </w:pPr>
            <w:r>
              <w:rPr>
                <w:rFonts w:ascii="Calibri" w:hAnsi="Calibri" w:cs="Calibri"/>
                <w:sz w:val="22"/>
                <w:szCs w:val="22"/>
              </w:rPr>
              <w:t>Koszty szkoleń obejmują:</w:t>
            </w:r>
          </w:p>
          <w:p w14:paraId="5AC89DFE" w14:textId="77777777" w:rsidR="000F01F1" w:rsidRDefault="00507EF5">
            <w:pPr>
              <w:numPr>
                <w:ilvl w:val="0"/>
                <w:numId w:val="3"/>
              </w:numPr>
              <w:rPr>
                <w:rFonts w:ascii="Calibri" w:hAnsi="Calibri" w:cs="Calibri"/>
                <w:sz w:val="22"/>
                <w:szCs w:val="22"/>
              </w:rPr>
            </w:pPr>
            <w:r>
              <w:rPr>
                <w:rFonts w:ascii="Calibri" w:hAnsi="Calibri" w:cs="Calibri"/>
                <w:sz w:val="22"/>
                <w:szCs w:val="22"/>
              </w:rPr>
              <w:t>Szkolenie specjalistyczne dla administratorów (serwerowe systemy operacyjne),</w:t>
            </w:r>
          </w:p>
          <w:p w14:paraId="5D61F31C" w14:textId="77777777" w:rsidR="000F01F1" w:rsidRDefault="00507EF5">
            <w:pPr>
              <w:numPr>
                <w:ilvl w:val="0"/>
                <w:numId w:val="3"/>
              </w:numPr>
              <w:rPr>
                <w:rFonts w:ascii="Calibri" w:hAnsi="Calibri" w:cs="Calibri"/>
                <w:sz w:val="22"/>
                <w:szCs w:val="22"/>
              </w:rPr>
            </w:pPr>
            <w:r>
              <w:rPr>
                <w:rFonts w:ascii="Calibri" w:hAnsi="Calibri" w:cs="Calibri"/>
                <w:sz w:val="22"/>
                <w:szCs w:val="22"/>
              </w:rPr>
              <w:t>Szkolenie specjalistyczne dla administratorów (platformy wirtualizacji),</w:t>
            </w:r>
          </w:p>
          <w:p w14:paraId="11B87136" w14:textId="77777777" w:rsidR="000F01F1" w:rsidRDefault="00507EF5">
            <w:pPr>
              <w:numPr>
                <w:ilvl w:val="0"/>
                <w:numId w:val="3"/>
              </w:numPr>
              <w:rPr>
                <w:rFonts w:ascii="Calibri" w:hAnsi="Calibri" w:cs="Calibri"/>
                <w:sz w:val="22"/>
                <w:szCs w:val="22"/>
              </w:rPr>
            </w:pPr>
            <w:r>
              <w:rPr>
                <w:rFonts w:ascii="Calibri" w:hAnsi="Calibri" w:cs="Calibri"/>
                <w:sz w:val="22"/>
                <w:szCs w:val="22"/>
              </w:rPr>
              <w:t xml:space="preserve">Szkolenie dla administratorów z administrowania systemem </w:t>
            </w:r>
            <w:proofErr w:type="spellStart"/>
            <w:r>
              <w:rPr>
                <w:rFonts w:ascii="Calibri" w:hAnsi="Calibri" w:cs="Calibri"/>
                <w:sz w:val="22"/>
                <w:szCs w:val="22"/>
              </w:rPr>
              <w:t>ePUK</w:t>
            </w:r>
            <w:proofErr w:type="spellEnd"/>
            <w:r>
              <w:rPr>
                <w:rFonts w:ascii="Calibri" w:hAnsi="Calibri" w:cs="Calibri"/>
                <w:sz w:val="22"/>
                <w:szCs w:val="22"/>
              </w:rPr>
              <w:t>,</w:t>
            </w:r>
          </w:p>
          <w:p w14:paraId="6BDBD7A4" w14:textId="77777777" w:rsidR="000F01F1" w:rsidRDefault="00507EF5">
            <w:pPr>
              <w:rPr>
                <w:rFonts w:ascii="Calibri" w:hAnsi="Calibri" w:cs="Calibri"/>
                <w:sz w:val="22"/>
                <w:szCs w:val="22"/>
              </w:rPr>
            </w:pPr>
            <w:r>
              <w:rPr>
                <w:rFonts w:ascii="Calibri" w:hAnsi="Calibri" w:cs="Calibri"/>
                <w:sz w:val="22"/>
                <w:szCs w:val="22"/>
              </w:rPr>
              <w:t>oraz szkolenia pracowników MSZ z obsługi systemu</w:t>
            </w:r>
          </w:p>
          <w:p w14:paraId="6BECA32A" w14:textId="77777777" w:rsidR="000F01F1" w:rsidRDefault="00507EF5">
            <w:pPr>
              <w:numPr>
                <w:ilvl w:val="0"/>
                <w:numId w:val="3"/>
              </w:numPr>
              <w:rPr>
                <w:rFonts w:ascii="Calibri" w:hAnsi="Calibri" w:cs="Calibri"/>
                <w:sz w:val="22"/>
                <w:szCs w:val="22"/>
              </w:rPr>
            </w:pPr>
            <w:r>
              <w:rPr>
                <w:rFonts w:ascii="Calibri" w:hAnsi="Calibri" w:cs="Calibri"/>
                <w:sz w:val="22"/>
                <w:szCs w:val="22"/>
              </w:rPr>
              <w:t>zakładane przeszkolenie 500 osób,</w:t>
            </w:r>
          </w:p>
          <w:p w14:paraId="703C745F" w14:textId="77777777" w:rsidR="000F01F1" w:rsidRDefault="00507EF5">
            <w:pPr>
              <w:numPr>
                <w:ilvl w:val="0"/>
                <w:numId w:val="3"/>
              </w:numPr>
              <w:rPr>
                <w:rFonts w:ascii="Calibri" w:hAnsi="Calibri" w:cs="Calibri"/>
                <w:sz w:val="22"/>
                <w:szCs w:val="22"/>
              </w:rPr>
            </w:pPr>
            <w:r>
              <w:rPr>
                <w:rFonts w:ascii="Calibri" w:hAnsi="Calibri" w:cs="Calibri"/>
                <w:sz w:val="22"/>
                <w:szCs w:val="22"/>
              </w:rPr>
              <w:t>szkolenia prowadzone na miejscu w placówkach (około 130 placówek dyplomatycznych) przez delegowany zespół szkoleniowy,</w:t>
            </w:r>
          </w:p>
          <w:p w14:paraId="5A4952ED" w14:textId="0104E580" w:rsidR="000F01F1" w:rsidRDefault="00507EF5">
            <w:pPr>
              <w:numPr>
                <w:ilvl w:val="0"/>
                <w:numId w:val="3"/>
              </w:numPr>
              <w:rPr>
                <w:rFonts w:ascii="Calibri" w:hAnsi="Calibri" w:cs="Calibri"/>
                <w:sz w:val="22"/>
                <w:szCs w:val="22"/>
              </w:rPr>
            </w:pPr>
            <w:r>
              <w:rPr>
                <w:rFonts w:ascii="Calibri" w:hAnsi="Calibri" w:cs="Calibri"/>
                <w:sz w:val="22"/>
                <w:szCs w:val="22"/>
              </w:rPr>
              <w:lastRenderedPageBreak/>
              <w:t xml:space="preserve">zakłada się, że zespół szkoleniowy będzie składał się z 9 osób (w zależności od wielkości placówki </w:t>
            </w:r>
            <w:r w:rsidR="00BE2D29">
              <w:rPr>
                <w:rFonts w:ascii="Calibri" w:hAnsi="Calibri" w:cs="Calibri"/>
                <w:sz w:val="22"/>
                <w:szCs w:val="22"/>
              </w:rPr>
              <w:t xml:space="preserve">/ </w:t>
            </w:r>
            <w:r>
              <w:rPr>
                <w:rFonts w:ascii="Calibri" w:hAnsi="Calibri" w:cs="Calibri"/>
                <w:sz w:val="22"/>
                <w:szCs w:val="22"/>
              </w:rPr>
              <w:t xml:space="preserve">liczby osób do przeszkolenia) </w:t>
            </w:r>
            <w:r w:rsidR="00BE2D29">
              <w:rPr>
                <w:rFonts w:ascii="Calibri" w:hAnsi="Calibri" w:cs="Calibri"/>
                <w:sz w:val="22"/>
                <w:szCs w:val="22"/>
              </w:rPr>
              <w:t xml:space="preserve">i </w:t>
            </w:r>
            <w:r>
              <w:rPr>
                <w:rFonts w:ascii="Calibri" w:hAnsi="Calibri" w:cs="Calibri"/>
                <w:sz w:val="22"/>
                <w:szCs w:val="22"/>
              </w:rPr>
              <w:t>będzie dzielony na zespoły w zależności od wielkości placówki,</w:t>
            </w:r>
          </w:p>
          <w:p w14:paraId="49FF3606" w14:textId="77777777" w:rsidR="000F01F1" w:rsidRDefault="00507EF5">
            <w:pPr>
              <w:numPr>
                <w:ilvl w:val="0"/>
                <w:numId w:val="3"/>
              </w:numPr>
              <w:rPr>
                <w:rFonts w:ascii="Calibri" w:hAnsi="Calibri" w:cs="Calibri"/>
                <w:sz w:val="22"/>
                <w:szCs w:val="22"/>
              </w:rPr>
            </w:pPr>
            <w:r>
              <w:rPr>
                <w:rFonts w:ascii="Calibri" w:hAnsi="Calibri" w:cs="Calibri"/>
                <w:sz w:val="22"/>
                <w:szCs w:val="22"/>
              </w:rPr>
              <w:t>koszty obejmują:</w:t>
            </w:r>
          </w:p>
          <w:p w14:paraId="5EC85B8B" w14:textId="77777777" w:rsidR="000F01F1" w:rsidRDefault="00507EF5">
            <w:pPr>
              <w:numPr>
                <w:ilvl w:val="1"/>
                <w:numId w:val="3"/>
              </w:numPr>
              <w:rPr>
                <w:rFonts w:ascii="Calibri" w:hAnsi="Calibri" w:cs="Calibri"/>
                <w:sz w:val="22"/>
                <w:szCs w:val="22"/>
              </w:rPr>
            </w:pPr>
            <w:r>
              <w:rPr>
                <w:rFonts w:ascii="Calibri" w:hAnsi="Calibri" w:cs="Calibri"/>
                <w:sz w:val="22"/>
                <w:szCs w:val="22"/>
              </w:rPr>
              <w:t>koszty delegacji zespołu szkoleniowo-wdrożeniowego (logistyka (bilety lotnicze, przejazdy), zakwaterowanie),</w:t>
            </w:r>
          </w:p>
          <w:p w14:paraId="476CDBC2" w14:textId="77777777" w:rsidR="000F01F1" w:rsidRDefault="00507EF5">
            <w:pPr>
              <w:numPr>
                <w:ilvl w:val="1"/>
                <w:numId w:val="3"/>
              </w:numPr>
              <w:rPr>
                <w:rFonts w:ascii="Calibri" w:hAnsi="Calibri" w:cs="Calibri"/>
                <w:sz w:val="22"/>
                <w:szCs w:val="22"/>
              </w:rPr>
            </w:pPr>
            <w:r>
              <w:rPr>
                <w:rFonts w:ascii="Calibri" w:hAnsi="Calibri" w:cs="Calibri"/>
                <w:sz w:val="22"/>
                <w:szCs w:val="22"/>
              </w:rPr>
              <w:t>koszty delegacji zespołu szkoleniowo-wdrożeniowego (diety).</w:t>
            </w:r>
          </w:p>
          <w:p w14:paraId="722C59E7" w14:textId="77777777" w:rsidR="000F01F1" w:rsidRDefault="00507EF5">
            <w:pPr>
              <w:rPr>
                <w:rFonts w:ascii="Calibri" w:hAnsi="Calibri" w:cs="Calibri"/>
                <w:sz w:val="22"/>
                <w:szCs w:val="22"/>
              </w:rPr>
            </w:pPr>
            <w:r>
              <w:rPr>
                <w:rFonts w:ascii="Calibri" w:hAnsi="Calibri" w:cs="Calibri"/>
                <w:sz w:val="22"/>
                <w:szCs w:val="22"/>
              </w:rPr>
              <w:t xml:space="preserve">Łączny koszt </w:t>
            </w:r>
            <w:r w:rsidRPr="00BE2D29">
              <w:rPr>
                <w:rFonts w:ascii="Calibri" w:hAnsi="Calibri" w:cs="Calibri"/>
                <w:sz w:val="22"/>
                <w:szCs w:val="22"/>
                <w:u w:val="single"/>
              </w:rPr>
              <w:t>wszystkich</w:t>
            </w:r>
            <w:r>
              <w:rPr>
                <w:rFonts w:ascii="Calibri" w:hAnsi="Calibri" w:cs="Calibri"/>
                <w:sz w:val="22"/>
                <w:szCs w:val="22"/>
              </w:rPr>
              <w:t xml:space="preserve"> szkoleń oszacowano na kwotę ok 4,2 mln zł.</w:t>
            </w:r>
          </w:p>
          <w:p w14:paraId="7695874B" w14:textId="77777777" w:rsidR="00447986" w:rsidRDefault="00447986">
            <w:pPr>
              <w:rPr>
                <w:rFonts w:ascii="Calibri" w:hAnsi="Calibri" w:cs="Calibri"/>
                <w:sz w:val="22"/>
                <w:szCs w:val="22"/>
              </w:rPr>
            </w:pPr>
          </w:p>
          <w:p w14:paraId="36376969" w14:textId="65431C30" w:rsidR="00447986" w:rsidRDefault="00447986">
            <w:pPr>
              <w:rPr>
                <w:rFonts w:ascii="Calibri" w:hAnsi="Calibri" w:cs="Calibri"/>
                <w:sz w:val="22"/>
                <w:szCs w:val="22"/>
              </w:rPr>
            </w:pPr>
            <w:r w:rsidRPr="003B44A3">
              <w:rPr>
                <w:rFonts w:ascii="Calibri" w:hAnsi="Calibri" w:cs="Calibri"/>
                <w:sz w:val="22"/>
                <w:szCs w:val="22"/>
                <w:highlight w:val="yellow"/>
              </w:rPr>
              <w:t>Dokonano zmian w pkt 4.2 opisu założeń – pozycja „Szkolenia” uzupełniając opis o powyższe wyjaśnienia</w:t>
            </w:r>
            <w:r w:rsidR="00554E26" w:rsidRPr="003B44A3">
              <w:rPr>
                <w:rFonts w:ascii="Calibri" w:hAnsi="Calibri" w:cs="Calibri"/>
                <w:sz w:val="22"/>
                <w:szCs w:val="22"/>
                <w:highlight w:val="yellow"/>
              </w:rPr>
              <w:t>.</w:t>
            </w:r>
          </w:p>
        </w:tc>
      </w:tr>
      <w:tr w:rsidR="000F01F1" w14:paraId="5EF9C75A" w14:textId="77777777">
        <w:tc>
          <w:tcPr>
            <w:tcW w:w="561" w:type="dxa"/>
            <w:tcBorders>
              <w:top w:val="single" w:sz="4" w:space="0" w:color="000000"/>
              <w:left w:val="single" w:sz="4" w:space="0" w:color="000000"/>
              <w:bottom w:val="single" w:sz="4" w:space="0" w:color="000000"/>
              <w:right w:val="single" w:sz="4" w:space="0" w:color="000000"/>
            </w:tcBorders>
          </w:tcPr>
          <w:p w14:paraId="0021509B" w14:textId="77777777" w:rsidR="000F01F1" w:rsidRDefault="000F01F1">
            <w:pPr>
              <w:numPr>
                <w:ilvl w:val="0"/>
                <w:numId w:val="1"/>
              </w:numPr>
              <w:spacing w:after="0" w:line="240" w:lineRule="auto"/>
              <w:ind w:left="113" w:firstLine="0"/>
              <w:jc w:val="center"/>
              <w:rPr>
                <w:rFonts w:ascii="Calibri" w:hAnsi="Calibri" w:cs="Calibri"/>
                <w:b/>
                <w:sz w:val="22"/>
                <w:szCs w:val="22"/>
              </w:rPr>
            </w:pPr>
          </w:p>
        </w:tc>
        <w:tc>
          <w:tcPr>
            <w:tcW w:w="1133" w:type="dxa"/>
            <w:tcBorders>
              <w:top w:val="single" w:sz="4" w:space="0" w:color="000000"/>
              <w:left w:val="single" w:sz="4" w:space="0" w:color="000000"/>
              <w:bottom w:val="single" w:sz="4" w:space="0" w:color="000000"/>
              <w:right w:val="single" w:sz="4" w:space="0" w:color="000000"/>
            </w:tcBorders>
          </w:tcPr>
          <w:p w14:paraId="191E0BB9" w14:textId="77777777" w:rsidR="000F01F1" w:rsidRDefault="00507EF5">
            <w:pPr>
              <w:jc w:val="center"/>
              <w:rPr>
                <w:rFonts w:ascii="Calibri" w:hAnsi="Calibri" w:cs="Calibri"/>
                <w:b/>
                <w:sz w:val="22"/>
                <w:szCs w:val="22"/>
              </w:rPr>
            </w:pPr>
            <w:r>
              <w:rPr>
                <w:rFonts w:ascii="Calibri" w:hAnsi="Calibri" w:cs="Calibri"/>
                <w:b/>
                <w:sz w:val="22"/>
                <w:szCs w:val="22"/>
              </w:rPr>
              <w:t>RA IT</w:t>
            </w:r>
          </w:p>
        </w:tc>
        <w:tc>
          <w:tcPr>
            <w:tcW w:w="1845" w:type="dxa"/>
            <w:tcBorders>
              <w:top w:val="single" w:sz="4" w:space="0" w:color="000000"/>
              <w:left w:val="single" w:sz="4" w:space="0" w:color="000000"/>
              <w:bottom w:val="single" w:sz="4" w:space="0" w:color="000000"/>
              <w:right w:val="single" w:sz="4" w:space="0" w:color="000000"/>
            </w:tcBorders>
          </w:tcPr>
          <w:p w14:paraId="30B481A4" w14:textId="77777777" w:rsidR="000F01F1" w:rsidRDefault="00507EF5">
            <w:pPr>
              <w:jc w:val="center"/>
              <w:rPr>
                <w:rFonts w:ascii="Calibri" w:hAnsi="Calibri" w:cs="Calibri"/>
                <w:bCs/>
                <w:sz w:val="22"/>
                <w:szCs w:val="22"/>
              </w:rPr>
            </w:pPr>
            <w:r>
              <w:rPr>
                <w:rFonts w:ascii="Calibri" w:hAnsi="Calibri" w:cs="Calibri"/>
                <w:bCs/>
                <w:sz w:val="22"/>
                <w:szCs w:val="22"/>
              </w:rPr>
              <w:t>4.3. Koszty ogólne utrzymania wraz ze sposobem finansowania</w:t>
            </w:r>
          </w:p>
        </w:tc>
        <w:tc>
          <w:tcPr>
            <w:tcW w:w="5407" w:type="dxa"/>
            <w:tcBorders>
              <w:top w:val="single" w:sz="4" w:space="0" w:color="000000"/>
              <w:left w:val="single" w:sz="4" w:space="0" w:color="000000"/>
              <w:bottom w:val="single" w:sz="4" w:space="0" w:color="000000"/>
              <w:right w:val="single" w:sz="4" w:space="0" w:color="000000"/>
            </w:tcBorders>
          </w:tcPr>
          <w:p w14:paraId="17DE32B9" w14:textId="77777777" w:rsidR="000F01F1" w:rsidRDefault="00507EF5">
            <w:pPr>
              <w:rPr>
                <w:rFonts w:ascii="Calibri" w:hAnsi="Calibri" w:cs="Calibri"/>
                <w:iCs/>
                <w:sz w:val="22"/>
                <w:szCs w:val="22"/>
              </w:rPr>
            </w:pPr>
            <w:r>
              <w:rPr>
                <w:rFonts w:ascii="Calibri" w:hAnsi="Calibri" w:cs="Calibri"/>
                <w:iCs/>
                <w:sz w:val="22"/>
                <w:szCs w:val="22"/>
              </w:rPr>
              <w:t>Budżet utrzymania nie uwzględnia rocznej inflacji. Proszę o wyjaśnienie znacznego wzrostu kosztu utrzymania systemu pomiędzy rokiem 2033 a rokiem 2034?</w:t>
            </w:r>
          </w:p>
        </w:tc>
        <w:tc>
          <w:tcPr>
            <w:tcW w:w="1752" w:type="dxa"/>
            <w:tcBorders>
              <w:top w:val="single" w:sz="4" w:space="0" w:color="000000"/>
              <w:left w:val="single" w:sz="4" w:space="0" w:color="000000"/>
              <w:bottom w:val="single" w:sz="4" w:space="0" w:color="000000"/>
              <w:right w:val="single" w:sz="4" w:space="0" w:color="000000"/>
            </w:tcBorders>
          </w:tcPr>
          <w:p w14:paraId="424CAD76" w14:textId="77777777" w:rsidR="000F01F1" w:rsidRDefault="00507EF5">
            <w:pPr>
              <w:jc w:val="center"/>
              <w:rPr>
                <w:rFonts w:ascii="Calibri" w:hAnsi="Calibri" w:cs="Calibri"/>
                <w:sz w:val="22"/>
                <w:szCs w:val="22"/>
              </w:rPr>
            </w:pPr>
            <w:r>
              <w:rPr>
                <w:rFonts w:ascii="Calibri" w:hAnsi="Calibri" w:cs="Calibri"/>
                <w:sz w:val="22"/>
                <w:szCs w:val="22"/>
              </w:rPr>
              <w:t>Proszę o korektę i wyjaśnienie.</w:t>
            </w:r>
          </w:p>
        </w:tc>
        <w:tc>
          <w:tcPr>
            <w:tcW w:w="4861" w:type="dxa"/>
            <w:tcBorders>
              <w:top w:val="single" w:sz="4" w:space="0" w:color="000000"/>
              <w:left w:val="single" w:sz="4" w:space="0" w:color="000000"/>
              <w:bottom w:val="single" w:sz="4" w:space="0" w:color="000000"/>
              <w:right w:val="single" w:sz="4" w:space="0" w:color="000000"/>
            </w:tcBorders>
          </w:tcPr>
          <w:p w14:paraId="12A761EF" w14:textId="77777777" w:rsidR="000F01F1" w:rsidRDefault="00507EF5">
            <w:pPr>
              <w:rPr>
                <w:rFonts w:ascii="Calibri" w:hAnsi="Calibri" w:cs="Calibri"/>
                <w:sz w:val="22"/>
                <w:szCs w:val="22"/>
              </w:rPr>
            </w:pPr>
            <w:r>
              <w:rPr>
                <w:rFonts w:ascii="Calibri" w:hAnsi="Calibri" w:cs="Calibri"/>
                <w:sz w:val="22"/>
                <w:szCs w:val="22"/>
              </w:rPr>
              <w:t>Analiza finansowa zgodnie z wytycznymi wykonana została w  cenach stałych. Cytat z „Wytyczne dotyczące zagadnień związanych z przygotowaniem projektów inwestycyjnych, w tym hybrydowych na lata 2021-2027”:</w:t>
            </w:r>
          </w:p>
          <w:p w14:paraId="3A64CE0A" w14:textId="77777777" w:rsidR="000F01F1" w:rsidRDefault="00507EF5">
            <w:pPr>
              <w:rPr>
                <w:rFonts w:ascii="Calibri" w:hAnsi="Calibri" w:cs="Calibri"/>
                <w:sz w:val="22"/>
                <w:szCs w:val="22"/>
              </w:rPr>
            </w:pPr>
            <w:r>
              <w:rPr>
                <w:rFonts w:ascii="Calibri" w:hAnsi="Calibri" w:cs="Calibri"/>
                <w:sz w:val="22"/>
                <w:szCs w:val="22"/>
              </w:rPr>
              <w:t>„Podrozdział 6.4. Założenia do analizy finansowej</w:t>
            </w:r>
          </w:p>
          <w:p w14:paraId="484122A9" w14:textId="77777777" w:rsidR="000F01F1" w:rsidRDefault="00507EF5">
            <w:pPr>
              <w:rPr>
                <w:rFonts w:ascii="Calibri" w:hAnsi="Calibri" w:cs="Calibri"/>
                <w:sz w:val="22"/>
                <w:szCs w:val="22"/>
              </w:rPr>
            </w:pPr>
            <w:r>
              <w:rPr>
                <w:rFonts w:ascii="Calibri" w:hAnsi="Calibri" w:cs="Calibri"/>
                <w:sz w:val="22"/>
                <w:szCs w:val="22"/>
              </w:rPr>
              <w:lastRenderedPageBreak/>
              <w:t>1) Analiza finansowa opiera się na następujących założeniach, spójnych dla wszystkich projektów w danym sektorze:</w:t>
            </w:r>
          </w:p>
          <w:p w14:paraId="05DB7CBF" w14:textId="77777777" w:rsidR="000F01F1" w:rsidRDefault="00507EF5">
            <w:pPr>
              <w:rPr>
                <w:rFonts w:ascii="Calibri" w:hAnsi="Calibri" w:cs="Calibri"/>
                <w:sz w:val="22"/>
                <w:szCs w:val="22"/>
              </w:rPr>
            </w:pPr>
            <w:r>
              <w:rPr>
                <w:rFonts w:ascii="Calibri" w:hAnsi="Calibri" w:cs="Calibri"/>
                <w:sz w:val="22"/>
                <w:szCs w:val="22"/>
              </w:rPr>
              <w:t xml:space="preserve">a) o ile to możliwe i uzasadnione, </w:t>
            </w:r>
            <w:r w:rsidRPr="00507EF5">
              <w:rPr>
                <w:rFonts w:ascii="Calibri" w:hAnsi="Calibri" w:cs="Calibri"/>
                <w:sz w:val="22"/>
                <w:szCs w:val="22"/>
                <w:u w:val="single"/>
              </w:rPr>
              <w:t xml:space="preserve">powinna być przeprowadzona w cenach stałych </w:t>
            </w:r>
            <w:r>
              <w:rPr>
                <w:rFonts w:ascii="Calibri" w:hAnsi="Calibri" w:cs="Calibri"/>
                <w:sz w:val="22"/>
                <w:szCs w:val="22"/>
              </w:rPr>
              <w:t>(W uzasadnionych przypadkach, np. jeżeli zastosowanie analizy opartej o ceny stałe, z uwagi na specyfikę danego sektora albo warunki makroekonomiczne byłoby niemiarodajne, instytucja zarządzająca może dopuścić możliwość przeprowadzenia analizy finansowej w cenach bieżących.) ”</w:t>
            </w:r>
          </w:p>
          <w:p w14:paraId="504D6C93" w14:textId="77777777" w:rsidR="000F01F1" w:rsidRDefault="00507EF5">
            <w:pPr>
              <w:rPr>
                <w:rFonts w:ascii="Calibri" w:hAnsi="Calibri" w:cs="Calibri"/>
                <w:sz w:val="22"/>
                <w:szCs w:val="22"/>
              </w:rPr>
            </w:pPr>
            <w:r>
              <w:rPr>
                <w:rFonts w:ascii="Calibri" w:hAnsi="Calibri" w:cs="Calibri"/>
                <w:sz w:val="22"/>
                <w:szCs w:val="22"/>
              </w:rPr>
              <w:t>Źródło: plik ”Wytyczne_PI_i_PH_21_27_5032023.pdf”</w:t>
            </w:r>
          </w:p>
          <w:p w14:paraId="454B1E4A" w14:textId="77777777" w:rsidR="000F01F1" w:rsidRDefault="00507EF5">
            <w:pPr>
              <w:rPr>
                <w:rFonts w:ascii="Calibri" w:hAnsi="Calibri" w:cs="Calibri"/>
                <w:sz w:val="22"/>
                <w:szCs w:val="22"/>
              </w:rPr>
            </w:pPr>
            <w:r>
              <w:rPr>
                <w:rFonts w:ascii="Calibri" w:hAnsi="Calibri" w:cs="Calibri"/>
                <w:sz w:val="22"/>
                <w:szCs w:val="22"/>
              </w:rPr>
              <w:t>Wzrost kosztu utrzymania systemu pomiędzy rokiem 2033 a rokiem 2034 (tj. w piątym roku od uruchomienia produktów projektu) wynika z konieczności poniesienia pierwszych nakładów odtworzeniowych tj.:</w:t>
            </w:r>
          </w:p>
          <w:p w14:paraId="6DD5E362" w14:textId="77777777" w:rsidR="000F01F1" w:rsidRDefault="00507EF5">
            <w:pPr>
              <w:numPr>
                <w:ilvl w:val="0"/>
                <w:numId w:val="4"/>
              </w:numPr>
              <w:rPr>
                <w:rFonts w:ascii="Calibri" w:hAnsi="Calibri" w:cs="Calibri"/>
                <w:sz w:val="22"/>
                <w:szCs w:val="22"/>
              </w:rPr>
            </w:pPr>
            <w:r>
              <w:rPr>
                <w:rFonts w:ascii="Calibri" w:hAnsi="Calibri" w:cs="Calibri"/>
                <w:sz w:val="22"/>
                <w:szCs w:val="22"/>
              </w:rPr>
              <w:t>modernizacja infrastruktury sprzętowej (DC1, DC2);</w:t>
            </w:r>
          </w:p>
          <w:p w14:paraId="41811306" w14:textId="77777777" w:rsidR="000F01F1" w:rsidRDefault="00507EF5">
            <w:pPr>
              <w:numPr>
                <w:ilvl w:val="0"/>
                <w:numId w:val="4"/>
              </w:numPr>
              <w:rPr>
                <w:rFonts w:ascii="Calibri" w:hAnsi="Calibri" w:cs="Calibri"/>
                <w:sz w:val="22"/>
                <w:szCs w:val="22"/>
              </w:rPr>
            </w:pPr>
            <w:r>
              <w:rPr>
                <w:rFonts w:ascii="Calibri" w:hAnsi="Calibri" w:cs="Calibri"/>
                <w:sz w:val="22"/>
                <w:szCs w:val="22"/>
              </w:rPr>
              <w:t>modernizacja oprogramowania systemowego, baz danych, BI;</w:t>
            </w:r>
          </w:p>
          <w:p w14:paraId="0FC3A0BA" w14:textId="77777777" w:rsidR="000F01F1" w:rsidRDefault="00507EF5">
            <w:pPr>
              <w:numPr>
                <w:ilvl w:val="0"/>
                <w:numId w:val="4"/>
              </w:numPr>
              <w:rPr>
                <w:rFonts w:ascii="Calibri" w:hAnsi="Calibri" w:cs="Calibri"/>
                <w:sz w:val="22"/>
                <w:szCs w:val="22"/>
              </w:rPr>
            </w:pPr>
            <w:r>
              <w:rPr>
                <w:rFonts w:ascii="Calibri" w:hAnsi="Calibri" w:cs="Calibri"/>
                <w:sz w:val="22"/>
                <w:szCs w:val="22"/>
              </w:rPr>
              <w:t xml:space="preserve">Doposażenie placówek w ramach projektu </w:t>
            </w:r>
            <w:proofErr w:type="spellStart"/>
            <w:r>
              <w:rPr>
                <w:rFonts w:ascii="Calibri" w:hAnsi="Calibri" w:cs="Calibri"/>
                <w:sz w:val="22"/>
                <w:szCs w:val="22"/>
              </w:rPr>
              <w:t>ePUK</w:t>
            </w:r>
            <w:proofErr w:type="spellEnd"/>
            <w:r>
              <w:rPr>
                <w:rFonts w:ascii="Calibri" w:hAnsi="Calibri" w:cs="Calibri"/>
                <w:sz w:val="22"/>
                <w:szCs w:val="22"/>
              </w:rPr>
              <w:t xml:space="preserve"> wraz z kosztami logistyki (doposażenie placówek).</w:t>
            </w:r>
          </w:p>
        </w:tc>
      </w:tr>
      <w:tr w:rsidR="000F01F1" w14:paraId="387D576C" w14:textId="77777777">
        <w:tc>
          <w:tcPr>
            <w:tcW w:w="561" w:type="dxa"/>
            <w:tcBorders>
              <w:top w:val="single" w:sz="4" w:space="0" w:color="000000"/>
              <w:left w:val="single" w:sz="4" w:space="0" w:color="000000"/>
              <w:bottom w:val="single" w:sz="4" w:space="0" w:color="000000"/>
              <w:right w:val="single" w:sz="4" w:space="0" w:color="000000"/>
            </w:tcBorders>
          </w:tcPr>
          <w:p w14:paraId="2F61A1FC" w14:textId="77777777" w:rsidR="000F01F1" w:rsidRDefault="000F01F1">
            <w:pPr>
              <w:numPr>
                <w:ilvl w:val="0"/>
                <w:numId w:val="1"/>
              </w:numPr>
              <w:spacing w:after="0" w:line="240" w:lineRule="auto"/>
              <w:ind w:left="113" w:firstLine="0"/>
              <w:jc w:val="center"/>
              <w:rPr>
                <w:rFonts w:ascii="Calibri" w:hAnsi="Calibri" w:cs="Calibri"/>
                <w:b/>
                <w:sz w:val="22"/>
                <w:szCs w:val="22"/>
              </w:rPr>
            </w:pPr>
          </w:p>
        </w:tc>
        <w:tc>
          <w:tcPr>
            <w:tcW w:w="1133" w:type="dxa"/>
            <w:tcBorders>
              <w:top w:val="single" w:sz="4" w:space="0" w:color="000000"/>
              <w:left w:val="single" w:sz="4" w:space="0" w:color="000000"/>
              <w:bottom w:val="single" w:sz="4" w:space="0" w:color="000000"/>
              <w:right w:val="single" w:sz="4" w:space="0" w:color="000000"/>
            </w:tcBorders>
          </w:tcPr>
          <w:p w14:paraId="4F9015AA" w14:textId="77777777" w:rsidR="000F01F1" w:rsidRDefault="00507EF5">
            <w:pPr>
              <w:jc w:val="center"/>
              <w:rPr>
                <w:rFonts w:ascii="Calibri" w:hAnsi="Calibri" w:cs="Calibri"/>
                <w:b/>
                <w:sz w:val="22"/>
                <w:szCs w:val="22"/>
              </w:rPr>
            </w:pPr>
            <w:r>
              <w:rPr>
                <w:rFonts w:ascii="Calibri" w:hAnsi="Calibri" w:cs="Calibri"/>
                <w:b/>
                <w:sz w:val="22"/>
                <w:szCs w:val="22"/>
              </w:rPr>
              <w:t>RA IT</w:t>
            </w:r>
          </w:p>
        </w:tc>
        <w:tc>
          <w:tcPr>
            <w:tcW w:w="1845" w:type="dxa"/>
            <w:tcBorders>
              <w:top w:val="single" w:sz="4" w:space="0" w:color="000000"/>
              <w:left w:val="single" w:sz="4" w:space="0" w:color="000000"/>
              <w:bottom w:val="single" w:sz="4" w:space="0" w:color="000000"/>
              <w:right w:val="single" w:sz="4" w:space="0" w:color="000000"/>
            </w:tcBorders>
          </w:tcPr>
          <w:p w14:paraId="659C01C8" w14:textId="77777777" w:rsidR="000F01F1" w:rsidRDefault="00507EF5">
            <w:pPr>
              <w:jc w:val="center"/>
              <w:rPr>
                <w:rFonts w:ascii="Calibri" w:hAnsi="Calibri" w:cs="Calibri"/>
                <w:bCs/>
                <w:sz w:val="22"/>
                <w:szCs w:val="22"/>
              </w:rPr>
            </w:pPr>
            <w:r>
              <w:rPr>
                <w:rFonts w:ascii="Calibri" w:hAnsi="Calibri" w:cs="Calibri"/>
                <w:bCs/>
                <w:sz w:val="22"/>
                <w:szCs w:val="22"/>
              </w:rPr>
              <w:t>5.1. Ryzyka wpływające na realizację projektu</w:t>
            </w:r>
          </w:p>
        </w:tc>
        <w:tc>
          <w:tcPr>
            <w:tcW w:w="5407" w:type="dxa"/>
            <w:tcBorders>
              <w:top w:val="single" w:sz="4" w:space="0" w:color="000000"/>
              <w:left w:val="single" w:sz="4" w:space="0" w:color="000000"/>
              <w:bottom w:val="single" w:sz="4" w:space="0" w:color="000000"/>
              <w:right w:val="single" w:sz="4" w:space="0" w:color="000000"/>
            </w:tcBorders>
          </w:tcPr>
          <w:p w14:paraId="2CFD4C7E" w14:textId="77777777" w:rsidR="000F01F1" w:rsidRDefault="00507EF5">
            <w:pPr>
              <w:rPr>
                <w:rFonts w:ascii="Calibri" w:hAnsi="Calibri" w:cs="Calibri"/>
                <w:iCs/>
                <w:sz w:val="22"/>
                <w:szCs w:val="22"/>
              </w:rPr>
            </w:pPr>
            <w:r>
              <w:rPr>
                <w:rFonts w:ascii="Calibri" w:hAnsi="Calibri" w:cs="Calibri"/>
                <w:iCs/>
                <w:sz w:val="22"/>
                <w:szCs w:val="22"/>
              </w:rPr>
              <w:t>Nazwa Ryzyka: Przekroczenie harmonogramu realizacji projektu.</w:t>
            </w:r>
          </w:p>
          <w:p w14:paraId="0C6C5AC3" w14:textId="77777777" w:rsidR="000F01F1" w:rsidRDefault="00507EF5">
            <w:pPr>
              <w:rPr>
                <w:rFonts w:ascii="Calibri" w:hAnsi="Calibri" w:cs="Calibri"/>
                <w:iCs/>
                <w:sz w:val="22"/>
                <w:szCs w:val="22"/>
              </w:rPr>
            </w:pPr>
            <w:r>
              <w:rPr>
                <w:rFonts w:ascii="Calibri" w:hAnsi="Calibri" w:cs="Calibri"/>
                <w:iCs/>
                <w:sz w:val="22"/>
                <w:szCs w:val="22"/>
              </w:rPr>
              <w:t>Sposób zarządzania ryzykiem: Bieżący monitoring postępu prac i ujawniających się czynników zagrożenia oraz efektywne podejmowanie decyzji przez osoby zarządzające projektem.</w:t>
            </w:r>
          </w:p>
          <w:p w14:paraId="33E2AE47" w14:textId="77777777" w:rsidR="000F01F1" w:rsidRDefault="00507EF5">
            <w:pPr>
              <w:rPr>
                <w:rFonts w:ascii="Calibri" w:hAnsi="Calibri" w:cs="Calibri"/>
                <w:iCs/>
                <w:sz w:val="22"/>
                <w:szCs w:val="22"/>
              </w:rPr>
            </w:pPr>
            <w:r>
              <w:rPr>
                <w:rFonts w:ascii="Calibri" w:hAnsi="Calibri" w:cs="Calibri"/>
                <w:iCs/>
                <w:sz w:val="22"/>
                <w:szCs w:val="22"/>
              </w:rPr>
              <w:t>Pełna zgoda. Do realizacji powyższego proponuje wykorzystać zalecenie z Pkt 2 przedmiotowej oceny.</w:t>
            </w:r>
          </w:p>
        </w:tc>
        <w:tc>
          <w:tcPr>
            <w:tcW w:w="1752" w:type="dxa"/>
            <w:tcBorders>
              <w:top w:val="single" w:sz="4" w:space="0" w:color="000000"/>
              <w:left w:val="single" w:sz="4" w:space="0" w:color="000000"/>
              <w:bottom w:val="single" w:sz="4" w:space="0" w:color="000000"/>
              <w:right w:val="single" w:sz="4" w:space="0" w:color="000000"/>
            </w:tcBorders>
          </w:tcPr>
          <w:p w14:paraId="1A449F8E" w14:textId="77777777" w:rsidR="000F01F1" w:rsidRDefault="000F01F1">
            <w:pPr>
              <w:jc w:val="center"/>
              <w:rPr>
                <w:rFonts w:ascii="Calibri" w:hAnsi="Calibri" w:cs="Calibri"/>
                <w:sz w:val="22"/>
                <w:szCs w:val="22"/>
              </w:rPr>
            </w:pPr>
          </w:p>
        </w:tc>
        <w:tc>
          <w:tcPr>
            <w:tcW w:w="4861" w:type="dxa"/>
            <w:tcBorders>
              <w:top w:val="single" w:sz="4" w:space="0" w:color="000000"/>
              <w:left w:val="single" w:sz="4" w:space="0" w:color="000000"/>
              <w:bottom w:val="single" w:sz="4" w:space="0" w:color="000000"/>
              <w:right w:val="single" w:sz="4" w:space="0" w:color="000000"/>
            </w:tcBorders>
          </w:tcPr>
          <w:p w14:paraId="55A9C22F" w14:textId="77777777" w:rsidR="000F01F1" w:rsidRDefault="00507EF5">
            <w:pPr>
              <w:rPr>
                <w:rFonts w:ascii="Calibri" w:hAnsi="Calibri" w:cs="Calibri"/>
                <w:sz w:val="22"/>
                <w:szCs w:val="22"/>
              </w:rPr>
            </w:pPr>
            <w:r>
              <w:rPr>
                <w:rFonts w:ascii="Calibri" w:hAnsi="Calibri" w:cs="Calibri"/>
                <w:sz w:val="22"/>
                <w:szCs w:val="22"/>
              </w:rPr>
              <w:t>Wyjaśnienia w odniesieniu do kamieni milowych zamieszczono w punktach 2, 8 i 9.</w:t>
            </w:r>
          </w:p>
          <w:p w14:paraId="6C8B565E" w14:textId="77777777" w:rsidR="000F01F1" w:rsidRDefault="00507EF5">
            <w:pPr>
              <w:rPr>
                <w:rFonts w:ascii="Calibri" w:hAnsi="Calibri" w:cs="Calibri"/>
                <w:sz w:val="22"/>
                <w:szCs w:val="22"/>
              </w:rPr>
            </w:pPr>
            <w:r>
              <w:rPr>
                <w:rFonts w:ascii="Calibri" w:hAnsi="Calibri" w:cs="Calibri"/>
                <w:sz w:val="22"/>
                <w:szCs w:val="22"/>
              </w:rPr>
              <w:t>W odniesieniu do niniejszego ryzyka, samo zwiększenie liczby kamieni nie stanowi metody zmniejszania ryzyka. Wnioskodawca zaplanował niezbędne działania i narzędzia pozwalające monitorowanie realizacji projektu (w tym harmonogramowanie prac, podział na zadania, wykorzystanie uznanych metodyk zarządzania projektem i wytwarzania oprogramowania m.in. metodyki zwinne).</w:t>
            </w:r>
          </w:p>
        </w:tc>
      </w:tr>
    </w:tbl>
    <w:p w14:paraId="3B8FAD11" w14:textId="77777777" w:rsidR="000F01F1" w:rsidRDefault="000F01F1"/>
    <w:sectPr w:rsidR="000F01F1">
      <w:pgSz w:w="16838" w:h="11906" w:orient="landscape"/>
      <w:pgMar w:top="1417" w:right="1417" w:bottom="1417" w:left="1417" w:header="0" w:footer="0" w:gutter="0"/>
      <w:cols w:space="708"/>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OpenSymbol">
    <w:altName w:val="Calibri"/>
    <w:charset w:val="01"/>
    <w:family w:val="auto"/>
    <w:pitch w:val="variable"/>
  </w:font>
  <w:font w:name="Aptos">
    <w:altName w:val="Calibri"/>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Noto Sans">
    <w:charset w:val="00"/>
    <w:family w:val="swiss"/>
    <w:pitch w:val="variable"/>
    <w:sig w:usb0="E00082FF" w:usb1="400078FF" w:usb2="00000021" w:usb3="00000000" w:csb0="0000019F" w:csb1="00000000"/>
  </w:font>
  <w:font w:name="Carlito">
    <w:altName w:val="Calibri"/>
    <w:charset w:val="01"/>
    <w:family w:val="roman"/>
    <w:pitch w:val="variable"/>
  </w:font>
  <w:font w:name="Noto Sans SC Regular">
    <w:panose1 w:val="00000000000000000000"/>
    <w:charset w:val="00"/>
    <w:family w:val="roman"/>
    <w:notTrueType/>
    <w:pitch w:val="default"/>
  </w:font>
  <w:font w:name="Calibri">
    <w:panose1 w:val="020F0502020204030204"/>
    <w:charset w:val="EE"/>
    <w:family w:val="swiss"/>
    <w:pitch w:val="variable"/>
    <w:sig w:usb0="E0002AFF" w:usb1="4000ACFF" w:usb2="00000001"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57132"/>
    <w:multiLevelType w:val="multilevel"/>
    <w:tmpl w:val="9EA0E72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1B50BDE"/>
    <w:multiLevelType w:val="multilevel"/>
    <w:tmpl w:val="CFA2EE6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 w15:restartNumberingAfterBreak="0">
    <w:nsid w:val="3CC50977"/>
    <w:multiLevelType w:val="multilevel"/>
    <w:tmpl w:val="79AC2EC4"/>
    <w:lvl w:ilvl="0">
      <w:start w:val="1"/>
      <w:numFmt w:val="decimal"/>
      <w:lvlText w:val="%1."/>
      <w:lvlJc w:val="left"/>
      <w:pPr>
        <w:tabs>
          <w:tab w:val="num" w:pos="0"/>
        </w:tabs>
        <w:ind w:left="643"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43D32CEF"/>
    <w:multiLevelType w:val="multilevel"/>
    <w:tmpl w:val="266E9E5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 w15:restartNumberingAfterBreak="0">
    <w:nsid w:val="62077E75"/>
    <w:multiLevelType w:val="multilevel"/>
    <w:tmpl w:val="29CE1AE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autoHyphenation/>
  <w:hyphenationZone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1F1"/>
    <w:rsid w:val="000F01F1"/>
    <w:rsid w:val="003B44A3"/>
    <w:rsid w:val="003B75D4"/>
    <w:rsid w:val="003C502A"/>
    <w:rsid w:val="00411606"/>
    <w:rsid w:val="00447986"/>
    <w:rsid w:val="00507EF5"/>
    <w:rsid w:val="00554E26"/>
    <w:rsid w:val="007004A3"/>
    <w:rsid w:val="00723788"/>
    <w:rsid w:val="00750EBE"/>
    <w:rsid w:val="00757C8B"/>
    <w:rsid w:val="00821A13"/>
    <w:rsid w:val="008849A2"/>
    <w:rsid w:val="009329D3"/>
    <w:rsid w:val="00BA1E91"/>
    <w:rsid w:val="00BC5984"/>
    <w:rsid w:val="00BE2D29"/>
    <w:rsid w:val="00F0411B"/>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3E899F"/>
  <w15:docId w15:val="{10329C19-3833-4BC8-9055-7A2B41C45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pl-PL"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60" w:line="278" w:lineRule="auto"/>
    </w:pPr>
  </w:style>
  <w:style w:type="paragraph" w:styleId="Nagwek1">
    <w:name w:val="heading 1"/>
    <w:basedOn w:val="Normalny"/>
    <w:next w:val="Normalny"/>
    <w:link w:val="Nagwek1Znak"/>
    <w:uiPriority w:val="9"/>
    <w:qFormat/>
    <w:rsid w:val="00116BB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116BB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116BBA"/>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116BBA"/>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116BBA"/>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116BBA"/>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16BBA"/>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16BBA"/>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116BBA"/>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qFormat/>
    <w:rsid w:val="00116BBA"/>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qFormat/>
    <w:rsid w:val="00116BBA"/>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qFormat/>
    <w:rsid w:val="00116BBA"/>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qFormat/>
    <w:rsid w:val="00116BBA"/>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qFormat/>
    <w:rsid w:val="00116BBA"/>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qFormat/>
    <w:rsid w:val="00116BBA"/>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qFormat/>
    <w:rsid w:val="00116BBA"/>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qFormat/>
    <w:rsid w:val="00116BBA"/>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qFormat/>
    <w:rsid w:val="00116BBA"/>
    <w:rPr>
      <w:rFonts w:eastAsiaTheme="majorEastAsia" w:cstheme="majorBidi"/>
      <w:color w:val="272727" w:themeColor="text1" w:themeTint="D8"/>
    </w:rPr>
  </w:style>
  <w:style w:type="character" w:customStyle="1" w:styleId="TytuZnak">
    <w:name w:val="Tytuł Znak"/>
    <w:basedOn w:val="Domylnaczcionkaakapitu"/>
    <w:link w:val="Tytu"/>
    <w:uiPriority w:val="10"/>
    <w:qFormat/>
    <w:rsid w:val="00116BBA"/>
    <w:rPr>
      <w:rFonts w:asciiTheme="majorHAnsi" w:eastAsiaTheme="majorEastAsia" w:hAnsiTheme="majorHAnsi" w:cstheme="majorBidi"/>
      <w:spacing w:val="-10"/>
      <w:kern w:val="2"/>
      <w:sz w:val="56"/>
      <w:szCs w:val="56"/>
    </w:rPr>
  </w:style>
  <w:style w:type="character" w:customStyle="1" w:styleId="PodtytuZnak">
    <w:name w:val="Podtytuł Znak"/>
    <w:basedOn w:val="Domylnaczcionkaakapitu"/>
    <w:link w:val="Podtytu"/>
    <w:uiPriority w:val="11"/>
    <w:qFormat/>
    <w:rsid w:val="00116BBA"/>
    <w:rPr>
      <w:rFonts w:eastAsiaTheme="majorEastAsia" w:cstheme="majorBidi"/>
      <w:color w:val="595959" w:themeColor="text1" w:themeTint="A6"/>
      <w:spacing w:val="15"/>
      <w:sz w:val="28"/>
      <w:szCs w:val="28"/>
    </w:rPr>
  </w:style>
  <w:style w:type="character" w:customStyle="1" w:styleId="CytatZnak">
    <w:name w:val="Cytat Znak"/>
    <w:basedOn w:val="Domylnaczcionkaakapitu"/>
    <w:link w:val="Cytat"/>
    <w:uiPriority w:val="29"/>
    <w:qFormat/>
    <w:rsid w:val="00116BBA"/>
    <w:rPr>
      <w:i/>
      <w:iCs/>
      <w:color w:val="404040" w:themeColor="text1" w:themeTint="BF"/>
    </w:rPr>
  </w:style>
  <w:style w:type="character" w:styleId="Wyrnienieintensywne">
    <w:name w:val="Intense Emphasis"/>
    <w:basedOn w:val="Domylnaczcionkaakapitu"/>
    <w:uiPriority w:val="21"/>
    <w:qFormat/>
    <w:rsid w:val="00116BBA"/>
    <w:rPr>
      <w:i/>
      <w:iCs/>
      <w:color w:val="0F4761" w:themeColor="accent1" w:themeShade="BF"/>
    </w:rPr>
  </w:style>
  <w:style w:type="character" w:customStyle="1" w:styleId="CytatintensywnyZnak">
    <w:name w:val="Cytat intensywny Znak"/>
    <w:basedOn w:val="Domylnaczcionkaakapitu"/>
    <w:link w:val="Cytatintensywny"/>
    <w:uiPriority w:val="30"/>
    <w:qFormat/>
    <w:rsid w:val="00116BBA"/>
    <w:rPr>
      <w:i/>
      <w:iCs/>
      <w:color w:val="0F4761" w:themeColor="accent1" w:themeShade="BF"/>
    </w:rPr>
  </w:style>
  <w:style w:type="character" w:styleId="Odwoanieintensywne">
    <w:name w:val="Intense Reference"/>
    <w:basedOn w:val="Domylnaczcionkaakapitu"/>
    <w:uiPriority w:val="32"/>
    <w:qFormat/>
    <w:rsid w:val="00116BBA"/>
    <w:rPr>
      <w:b/>
      <w:bCs/>
      <w:smallCaps/>
      <w:color w:val="0F4761" w:themeColor="accent1" w:themeShade="BF"/>
      <w:spacing w:val="5"/>
    </w:rPr>
  </w:style>
  <w:style w:type="character" w:customStyle="1" w:styleId="AkapitzlistZnak">
    <w:name w:val="Akapit z listą Znak"/>
    <w:link w:val="Akapitzlist"/>
    <w:uiPriority w:val="34"/>
    <w:qFormat/>
    <w:locked/>
    <w:rsid w:val="00116BBA"/>
  </w:style>
  <w:style w:type="character" w:customStyle="1" w:styleId="NagwekZnak">
    <w:name w:val="Nagłówek Znak"/>
    <w:basedOn w:val="Domylnaczcionkaakapitu"/>
    <w:link w:val="Nagwek"/>
    <w:uiPriority w:val="99"/>
    <w:qFormat/>
    <w:rsid w:val="00116BBA"/>
  </w:style>
  <w:style w:type="character" w:customStyle="1" w:styleId="StopkaZnak">
    <w:name w:val="Stopka Znak"/>
    <w:basedOn w:val="Domylnaczcionkaakapitu"/>
    <w:link w:val="Stopka"/>
    <w:uiPriority w:val="99"/>
    <w:qFormat/>
    <w:rsid w:val="00116BBA"/>
  </w:style>
  <w:style w:type="character" w:styleId="Odwoaniedokomentarza">
    <w:name w:val="annotation reference"/>
    <w:basedOn w:val="Domylnaczcionkaakapitu"/>
    <w:uiPriority w:val="99"/>
    <w:semiHidden/>
    <w:unhideWhenUsed/>
    <w:qFormat/>
    <w:rsid w:val="00D1424D"/>
    <w:rPr>
      <w:sz w:val="16"/>
      <w:szCs w:val="16"/>
    </w:rPr>
  </w:style>
  <w:style w:type="character" w:customStyle="1" w:styleId="TekstkomentarzaZnak">
    <w:name w:val="Tekst komentarza Znak"/>
    <w:basedOn w:val="Domylnaczcionkaakapitu"/>
    <w:link w:val="Tekstkomentarza"/>
    <w:uiPriority w:val="99"/>
    <w:semiHidden/>
    <w:qFormat/>
    <w:rsid w:val="00D1424D"/>
    <w:rPr>
      <w:sz w:val="20"/>
      <w:szCs w:val="20"/>
    </w:rPr>
  </w:style>
  <w:style w:type="character" w:customStyle="1" w:styleId="TematkomentarzaZnak">
    <w:name w:val="Temat komentarza Znak"/>
    <w:basedOn w:val="TekstkomentarzaZnak"/>
    <w:link w:val="Tematkomentarza"/>
    <w:uiPriority w:val="99"/>
    <w:semiHidden/>
    <w:qFormat/>
    <w:rsid w:val="00D1424D"/>
    <w:rPr>
      <w:b/>
      <w:bCs/>
      <w:sz w:val="20"/>
      <w:szCs w:val="20"/>
    </w:rPr>
  </w:style>
  <w:style w:type="character" w:customStyle="1" w:styleId="Znakinumeracji">
    <w:name w:val="Znaki numeracji"/>
    <w:qFormat/>
  </w:style>
  <w:style w:type="character" w:customStyle="1" w:styleId="Znakiwypunktowania">
    <w:name w:val="Znaki wypunktowania"/>
    <w:qFormat/>
    <w:rPr>
      <w:rFonts w:ascii="OpenSymbol" w:eastAsia="OpenSymbol" w:hAnsi="OpenSymbol" w:cs="OpenSymbol"/>
    </w:rPr>
  </w:style>
  <w:style w:type="character" w:customStyle="1" w:styleId="Znakiwypunktowaniauser">
    <w:name w:val="Znaki wypunktowania (user)"/>
    <w:qFormat/>
    <w:rPr>
      <w:rFonts w:ascii="OpenSymbol" w:eastAsia="OpenSymbol" w:hAnsi="OpenSymbol" w:cs="OpenSymbol"/>
    </w:rPr>
  </w:style>
  <w:style w:type="paragraph" w:styleId="Nagwek">
    <w:name w:val="header"/>
    <w:basedOn w:val="Normalny"/>
    <w:next w:val="Tekstpodstawowy"/>
    <w:link w:val="NagwekZnak"/>
    <w:uiPriority w:val="99"/>
    <w:unhideWhenUsed/>
    <w:rsid w:val="00116BBA"/>
    <w:pPr>
      <w:tabs>
        <w:tab w:val="center" w:pos="4536"/>
        <w:tab w:val="right" w:pos="9072"/>
      </w:tabs>
      <w:spacing w:after="0" w:line="240" w:lineRule="auto"/>
    </w:pPr>
  </w:style>
  <w:style w:type="paragraph" w:styleId="Tekstpodstawowy">
    <w:name w:val="Body Text"/>
    <w:basedOn w:val="Normalny"/>
    <w:pPr>
      <w:spacing w:after="140" w:line="276" w:lineRule="auto"/>
    </w:pPr>
  </w:style>
  <w:style w:type="paragraph" w:styleId="Lista">
    <w:name w:val="List"/>
    <w:basedOn w:val="Tekstpodstawowy"/>
    <w:rPr>
      <w:rFonts w:cs="Noto Sans"/>
    </w:rPr>
  </w:style>
  <w:style w:type="paragraph" w:styleId="Legenda">
    <w:name w:val="caption"/>
    <w:basedOn w:val="Normalny"/>
    <w:qFormat/>
    <w:pPr>
      <w:suppressLineNumbers/>
      <w:spacing w:before="120" w:after="120"/>
    </w:pPr>
    <w:rPr>
      <w:rFonts w:cs="Noto Sans"/>
      <w:i/>
      <w:iCs/>
    </w:rPr>
  </w:style>
  <w:style w:type="paragraph" w:customStyle="1" w:styleId="Indeks">
    <w:name w:val="Indeks"/>
    <w:basedOn w:val="Normalny"/>
    <w:qFormat/>
    <w:pPr>
      <w:suppressLineNumbers/>
    </w:pPr>
    <w:rPr>
      <w:rFonts w:cs="Noto Sans"/>
    </w:rPr>
  </w:style>
  <w:style w:type="paragraph" w:customStyle="1" w:styleId="Nagwekuser">
    <w:name w:val="Nagłówek (user)"/>
    <w:basedOn w:val="Normalny"/>
    <w:next w:val="Tekstpodstawowy"/>
    <w:qFormat/>
    <w:pPr>
      <w:keepNext/>
      <w:spacing w:before="240" w:after="120"/>
    </w:pPr>
    <w:rPr>
      <w:rFonts w:ascii="Carlito" w:eastAsia="Noto Sans SC Regular" w:hAnsi="Carlito" w:cs="Noto Sans"/>
      <w:sz w:val="28"/>
      <w:szCs w:val="28"/>
    </w:rPr>
  </w:style>
  <w:style w:type="paragraph" w:customStyle="1" w:styleId="Indeksuser">
    <w:name w:val="Indeks (user)"/>
    <w:basedOn w:val="Normalny"/>
    <w:qFormat/>
    <w:pPr>
      <w:suppressLineNumbers/>
    </w:pPr>
    <w:rPr>
      <w:rFonts w:cs="Noto Sans"/>
    </w:rPr>
  </w:style>
  <w:style w:type="paragraph" w:styleId="Tytu">
    <w:name w:val="Title"/>
    <w:basedOn w:val="Normalny"/>
    <w:next w:val="Normalny"/>
    <w:link w:val="TytuZnak"/>
    <w:uiPriority w:val="10"/>
    <w:qFormat/>
    <w:rsid w:val="00116BBA"/>
    <w:pPr>
      <w:spacing w:after="80" w:line="240" w:lineRule="auto"/>
      <w:contextualSpacing/>
    </w:pPr>
    <w:rPr>
      <w:rFonts w:asciiTheme="majorHAnsi" w:eastAsiaTheme="majorEastAsia" w:hAnsiTheme="majorHAnsi" w:cstheme="majorBidi"/>
      <w:spacing w:val="-10"/>
      <w:sz w:val="56"/>
      <w:szCs w:val="56"/>
    </w:rPr>
  </w:style>
  <w:style w:type="paragraph" w:styleId="Podtytu">
    <w:name w:val="Subtitle"/>
    <w:basedOn w:val="Normalny"/>
    <w:next w:val="Normalny"/>
    <w:link w:val="PodtytuZnak"/>
    <w:uiPriority w:val="11"/>
    <w:qFormat/>
    <w:rsid w:val="00116BBA"/>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16BBA"/>
    <w:pPr>
      <w:spacing w:before="160"/>
      <w:jc w:val="center"/>
    </w:pPr>
    <w:rPr>
      <w:i/>
      <w:iCs/>
      <w:color w:val="404040" w:themeColor="text1" w:themeTint="BF"/>
    </w:rPr>
  </w:style>
  <w:style w:type="paragraph" w:styleId="Akapitzlist">
    <w:name w:val="List Paragraph"/>
    <w:basedOn w:val="Normalny"/>
    <w:link w:val="AkapitzlistZnak"/>
    <w:uiPriority w:val="34"/>
    <w:qFormat/>
    <w:rsid w:val="00116BBA"/>
    <w:pPr>
      <w:ind w:left="720"/>
      <w:contextualSpacing/>
    </w:pPr>
  </w:style>
  <w:style w:type="paragraph" w:styleId="Cytatintensywny">
    <w:name w:val="Intense Quote"/>
    <w:basedOn w:val="Normalny"/>
    <w:next w:val="Normalny"/>
    <w:link w:val="CytatintensywnyZnak"/>
    <w:uiPriority w:val="30"/>
    <w:qFormat/>
    <w:rsid w:val="00116BB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paragraph" w:customStyle="1" w:styleId="Gwkaistopkauser">
    <w:name w:val="Główka i stopka (user)"/>
    <w:basedOn w:val="Normalny"/>
    <w:qFormat/>
  </w:style>
  <w:style w:type="paragraph" w:customStyle="1" w:styleId="Gwkaistopka">
    <w:name w:val="Główka i stopka"/>
    <w:basedOn w:val="Normalny"/>
    <w:qFormat/>
  </w:style>
  <w:style w:type="paragraph" w:styleId="Stopka">
    <w:name w:val="footer"/>
    <w:basedOn w:val="Normalny"/>
    <w:link w:val="StopkaZnak"/>
    <w:uiPriority w:val="99"/>
    <w:unhideWhenUsed/>
    <w:rsid w:val="00116BBA"/>
    <w:pPr>
      <w:tabs>
        <w:tab w:val="center" w:pos="4536"/>
        <w:tab w:val="right" w:pos="9072"/>
      </w:tabs>
      <w:spacing w:after="0" w:line="240" w:lineRule="auto"/>
    </w:pPr>
  </w:style>
  <w:style w:type="paragraph" w:styleId="Tekstkomentarza">
    <w:name w:val="annotation text"/>
    <w:basedOn w:val="Normalny"/>
    <w:link w:val="TekstkomentarzaZnak"/>
    <w:uiPriority w:val="99"/>
    <w:semiHidden/>
    <w:unhideWhenUsed/>
    <w:rsid w:val="00D1424D"/>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qFormat/>
    <w:rsid w:val="00D1424D"/>
    <w:rPr>
      <w:b/>
      <w:bCs/>
    </w:rPr>
  </w:style>
  <w:style w:type="paragraph" w:customStyle="1" w:styleId="Zawartotabeli">
    <w:name w:val="Zawartość tabeli"/>
    <w:basedOn w:val="Normalny"/>
    <w:qFormat/>
    <w:pPr>
      <w:widowControl w:val="0"/>
      <w:suppressLineNumbers/>
    </w:pPr>
  </w:style>
  <w:style w:type="paragraph" w:customStyle="1" w:styleId="Nagwektabeli">
    <w:name w:val="Nagłówek tabeli"/>
    <w:basedOn w:val="Zawartotabeli"/>
    <w:qFormat/>
    <w:pPr>
      <w:jc w:val="center"/>
    </w:pPr>
    <w:rPr>
      <w:b/>
      <w:bCs/>
    </w:rPr>
  </w:style>
  <w:style w:type="paragraph" w:customStyle="1" w:styleId="Zawartotabeliuser">
    <w:name w:val="Zawartość tabeli (user)"/>
    <w:basedOn w:val="Normalny"/>
    <w:qFormat/>
    <w:pPr>
      <w:widowControl w:val="0"/>
      <w:suppressLineNumbers/>
    </w:pPr>
  </w:style>
  <w:style w:type="paragraph" w:customStyle="1" w:styleId="Nagwektabeliuser">
    <w:name w:val="Nagłówek tabeli (user)"/>
    <w:basedOn w:val="Zawartotabeliuser"/>
    <w:qFormat/>
    <w:pPr>
      <w:jc w:val="center"/>
    </w:pPr>
    <w:rPr>
      <w:b/>
      <w:bCs/>
    </w:rPr>
  </w:style>
  <w:style w:type="numbering" w:customStyle="1" w:styleId="Bezlistyuser">
    <w:name w:val="Bez listy (user)"/>
    <w:uiPriority w:val="99"/>
    <w:semiHidden/>
    <w:unhideWhenUsed/>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4018553">
      <w:bodyDiv w:val="1"/>
      <w:marLeft w:val="0"/>
      <w:marRight w:val="0"/>
      <w:marTop w:val="0"/>
      <w:marBottom w:val="0"/>
      <w:divBdr>
        <w:top w:val="none" w:sz="0" w:space="0" w:color="auto"/>
        <w:left w:val="none" w:sz="0" w:space="0" w:color="auto"/>
        <w:bottom w:val="none" w:sz="0" w:space="0" w:color="auto"/>
        <w:right w:val="none" w:sz="0" w:space="0" w:color="auto"/>
      </w:divBdr>
    </w:div>
    <w:div w:id="1325470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3080</Words>
  <Characters>18480</Characters>
  <Application>Microsoft Office Word</Application>
  <DocSecurity>0</DocSecurity>
  <Lines>154</Lines>
  <Paragraphs>43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 Ćwiek</dc:creator>
  <dc:description/>
  <cp:lastModifiedBy>Adamczewski Kamil</cp:lastModifiedBy>
  <cp:revision>2</cp:revision>
  <cp:lastPrinted>2025-11-25T07:41:00Z</cp:lastPrinted>
  <dcterms:created xsi:type="dcterms:W3CDTF">2025-12-04T12:26:00Z</dcterms:created>
  <dcterms:modified xsi:type="dcterms:W3CDTF">2025-12-04T12:26:00Z</dcterms:modified>
  <dc:language>pl-PL</dc:language>
</cp:coreProperties>
</file>